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283777-s1_vivosim.htm"/>
      <w:bookmarkStart w:id="1" w:name="ksea0283777s1_vivosim"/>
      <w:bookmarkEnd w:id="0"/>
      <w:bookmarkEnd w:id="1"/>
      <w:r>
        <w:rPr>
          <w:rFonts w:ascii="Times New Roman;Times;Serif" w:hAnsi="Times New Roman;Times;Serif"/>
          <w:b/>
          <w:i w:val="false"/>
          <w:caps w:val="false"/>
          <w:smallCaps w:val="false"/>
          <w:sz w:val="20"/>
        </w:rPr>
        <w:t>As filed with the Securities and Exchange Commission on March 27,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VivoSim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2660"/>
        <w:gridCol w:w="60"/>
        <w:gridCol w:w="2840"/>
        <w:gridCol w:w="60"/>
        <w:gridCol w:w="1970"/>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8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2836</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27-1488943</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84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Classification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Number)</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11555 Sorrento Valley Road, 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Diego, CA 92121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 224-1000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Keith Murphy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Chairman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VivoSim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11555 Sorrento Valley Road, 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Diego, CA 92121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 224-1000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center"/>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2255"/>
        <w:gridCol w:w="60"/>
        <w:gridCol w:w="2855"/>
      </w:tblGrid>
      <w:tr>
        <w:trPr/>
        <w:tc>
          <w:tcPr>
            <w:tcW w:w="22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Jeffrey T. Hartlin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Samantha H. Eldredge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Hastings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1117 S. California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Palo Alto, CA 94304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320-1800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8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 Ali Panjwani,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Pryor Cashman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Times Square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10036-6569</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421-4100</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after the effective date of this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MARCH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6217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6477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2,366,862 Shares of Common Stock (or Pre-Funded Warrants to Purchase up to 2,366,862 Shares of Common Stock in lieu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Purchase up to 3,550,293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Agent Warrants to Purchase up to 118,343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2,366,862 Shares of Common Stock Underlying the Pre-Funded Warrants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8,875,733 Shares of Common Stock Underlying the Common 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118,343 Shares of Common Stock Underlying the Placement Agent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best efforts public offering of up to $4,000,000 of shares of common stock or pre-funded warrants in lieu thereof , together with common warrants to purchase up to an aggregate of up to $15,000,000 of shares of common stock. Each share of common stock, or pre-funded warrant in lieu thereof, is being sold together with a common warrant to purchase one and a half shares of common stock at an assumed combined public offering price of $1.69 per share and accompanying common warrant (the last reported sale price per share of our common stock on the Nasdaq Capital Market on March 26, 2026).The shares of common stock, or pre-funded warrants in lieu thereof, and common warrants are immediately separable and will be issued separately in this offering, but must be purchased together in this offering. Each common warrant will have an exercise price of $[          ], will be immediately exercisable and will expire on the fifth anniversary of the original issuance date. The common warrants have price protection against subsequent dilutive issuances of shares of common stock, options, warrants and convertible securities, subject to a $0.01 per share of common stock floor, as further described herein. At any time after the closing of the Initial Tranche (as defined below) of the offering, the holders of the common warrants may exchange the common warrants on a cashless basis for a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is comprised of two tranches. Pursuant to the initial tranche (the “Initial Tranche”), purchasers of shares of common stock, or pre-funded warrants in lieu thereof, and accompanying common warrants will purchase up to $3,000,000 of shares of common stock. Pursuant to the Second Tranche, purchasers of shares of common stock, or pre-funded warrants in lieu thereof, and accompanying common warrants to purchase one and a half shares of common stock will purchase up to $1,000,000 of shares of common stock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closing of the Initial Tranche (the “Second Tranche Closing Date), subject to the satisfaction of certain conditions, including that (i) the closing price of our common stock on the trading day immediately before the Second Tranche Closing Date must be equal to the closing price of our common stock on the trading day immediately prior to the closing date of the Initial Tranche and (ii) the average daily trading volume of our common stock during the ten (10) consecutive trading days immediately prior to the Second Tranche Closing Date must be at least $100,000. The closing of the Second Tranche, if any, is referred to herein as the “Second Tranche Closing”. There can be no assurances that the conditions to closing the Second Tranche will be satisfied or that there will be a Second Tranche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to certain purchasers, if any, whose purchase of shares of common stock in this offering would otherwise result in such purchaser, together with its affiliates and certain related parties, beneficially owning more than 4.99% (or, at the election of the purchaser, 9.99%) of our outstanding common stock immediately following the consummation of this offering, the opportunity to purchase pre-funded warrants, in lieu of shares of common stock that would otherwise result in such purchaser’s beneficial ownership exceeding 4.99% (or, at the election of the purchaser, 9.99%) of our outstanding common stock. The public offering price of each pre-funded warrant to purchase one share of common stock and accompanying common warrant to purchase one and a half shares of common stock will be equal to the price at which one share of common stock and accompanying common warrant to purchase one and a half shares of common stock is sold to the public in this offering, minus $0.001, and the exercise price of each pre-funded warrant will be $0.001 per share. The pre-funded warrants will be immediately exercisable and may be exercised at any time until all of the pre-funded warrants are exercised in full. For each pre-funded warrant we sell, the number of shares of common stock we are offering will be decreased on a one-for-one basis.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presented regarding the common stock, or pre-funded warrants in lieu thereof, and accompanying common warrants is based on an assumed combined public offering price of $1.69 per share (the last reported sale price per share of our common stock on the Nasdaq Capital Market on March 26, 2026) and accompanying common warrant (or $1.689 per pre-funded warrant and accompanying common warrant). The actual public offering price per share of common stock and accompanying common warrant and per pre-funded warrant and accompanying common warrant, as the case may be, will be determined between us, the Placement Agent (as defined below) and the investors at the time of pricing, may be at a discount to the current market price, and may be based upon a number of factors, including our history and our prospects, the industry in which we operate, our past and present operating results, the previous experience of our executive officers and the general condition of the securities markets at the time of this offering. Therefore, the assumed combined public offering price used throughout this prospectus may not be indicative of the final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April 30, 2026 unless (i) the closing occurs prior thereto or (ii) we decide to terminate the offering (which we may do at any time in our discretion) prior to that date. We will have one closing for all securities purchased in this offering and the combined public offering price per share of common stock (or pre-funded warrant) and accompanying common warrant will be fixed for the duration of this offering. Investors purchasing securities offered hereby will execute a securities purchase agreement with us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listed on the Nasdaq Capital Market under the symbol “VIVS.” On March 26, 2026, the last reported sale price of our common stock was $1.69.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common warrants or pre-funded warrants and we do not expect a market to develop. Without an active trading market, the liquidity of the common warrants and pre-funded warrants will be limited. In addition, we do not intend to list the common warrants or pre-funded warrants on the Nasdaq Capital Market, any other national securities exchange or any other trading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Joseph Gunnar &amp; Co., LLC (the “Placement Agent”) to act as our Placement Agent,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set forth in the table below, which assumes that we sell all of the securities offered by this prospectus. We are also seeking to register the issuance of warrants to purchase up to 118,343 shares of common stock (the “Placement Agent Warrants”) to the Placement Agent (assuming securities offered hereunder are only sold to investors introduced by the Placement Agent), as well as 118,343 shares of common stock issuable upon exercise of the Placement Agent Warrants at an assumed exercise price of $2.11 per share (equal to 125% of the assumed combined public offering price per share and accompanying common warrant to purchase one and a half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minimum number of securities or minimum aggregate amount of proceeds for this offering to close. We expect this offering to be completed not later than one business day following the commencement of this offering and we will deliver all securities to be issued in connection with this offering delivery versus payment (“DVP”)/receipt versus payment (“RVP”)/DWAC upon receipt of investor funds received by the Company. Accordingly, neither we nor the Placement Agent have made any arrangements to place investor funds in an escrow account or trust account since the Placement Agent will not receive investor funds in connection with the sale of the securities offered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there is no minimum offering amount required as a condition to closing in this offering, the actual public offering amount, the Placement Agent’s fee, and proceeds to us, if any, are not presently determinable and may be substantially less than the total maximum offering amounts set forth above and throughout this prospectus. We have agreed to pay the Placement Agent the Placement Agent fees set forth in the table below and elsewhere in this prospectus. See “Plan of Distribution” on page 33 for more information regarding the Placement Agent's fees.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We will bear all of our costs associated with the offering and certain costs incurred by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together with additional information described under the headings “</w:t>
      </w:r>
      <w:r>
        <w:rPr>
          <w:rFonts w:ascii="Times New Roman;Times;Serif" w:hAnsi="Times New Roman;Times;Serif"/>
          <w:b w:val="false"/>
          <w:i/>
          <w:caps w:val="false"/>
          <w:smallCaps w:val="false"/>
          <w:sz w:val="20"/>
        </w:rPr>
        <w:t xml:space="preserve">Incorporation of Certain Information By Reference”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carefully before you invest in any of our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section entitled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9 of this prospectus and under similar headings in documents incorporated by reference into this prospectus for a discussion of risks that should be considered in connection with an investment in our securities.</w:t>
      </w:r>
    </w:p>
    <w:p>
      <w:pPr>
        <w:pStyle w:val="TextBody"/>
        <w:bidi w:val="0"/>
        <w:spacing w:before="0" w:after="0"/>
        <w:ind w:left="0" w:right="0" w:hanging="0"/>
        <w:jc w:val="left"/>
        <w:rPr>
          <w:caps w:val="false"/>
          <w:smallCaps w:val="false"/>
        </w:rPr>
      </w:pPr>
      <w:r>
        <w:rPr>
          <w:caps w:val="false"/>
          <w:smallCaps w:val="false"/>
        </w:rPr>
        <w:t> </w:t>
      </w:r>
    </w:p>
    <w:tbl>
      <w:tblPr>
        <w:tblW w:w="6709" w:type="dxa"/>
        <w:jc w:val="left"/>
        <w:tblInd w:w="0" w:type="dxa"/>
        <w:tblLayout w:type="fixed"/>
        <w:tblCellMar>
          <w:top w:w="0" w:type="dxa"/>
          <w:left w:w="0" w:type="dxa"/>
          <w:bottom w:w="0" w:type="dxa"/>
          <w:right w:w="0" w:type="dxa"/>
        </w:tblCellMar>
      </w:tblPr>
      <w:tblGrid>
        <w:gridCol w:w="2825"/>
        <w:gridCol w:w="60"/>
        <w:gridCol w:w="398"/>
        <w:gridCol w:w="1196"/>
        <w:gridCol w:w="60"/>
        <w:gridCol w:w="60"/>
        <w:gridCol w:w="305"/>
        <w:gridCol w:w="1050"/>
        <w:gridCol w:w="60"/>
        <w:gridCol w:w="60"/>
        <w:gridCol w:w="140"/>
        <w:gridCol w:w="420"/>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 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Pre-Funded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center"/>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offering price</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Placement Agent fees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before expenses, to us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cash fee equal to 7.5% of the aggregate purchase price paid by investors in this offering. We have also agreed to reimburse the Placement Agent for certain of its offering-related expenses.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33 of this prospectus for a description of the compensation to be received by the Placement Agent.</w:t>
            </w:r>
          </w:p>
        </w:tc>
      </w:tr>
    </w:tbl>
    <w:tbl>
      <w:tblPr>
        <w:tblW w:w="9055" w:type="dxa"/>
        <w:jc w:val="left"/>
        <w:tblInd w:w="0" w:type="dxa"/>
        <w:tblLayout w:type="fixed"/>
        <w:tblCellMar>
          <w:top w:w="0" w:type="dxa"/>
          <w:left w:w="0" w:type="dxa"/>
          <w:bottom w:w="0" w:type="dxa"/>
          <w:right w:w="0" w:type="dxa"/>
        </w:tblCellMar>
      </w:tblPr>
      <w:tblGrid>
        <w:gridCol w:w="260"/>
        <w:gridCol w:w="87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include proceeds from the exercise of the common warrants and pre-funded warrants in cash, if 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shares of common stock, pre-funded warrants and common warrants offered hereby in the Initial Tranche is expected to be made on or about [          ], 2026, subject to the satisfaction of customary closing conditions. Delivery of shares of common stock, pre-funded warrants and common warrants offered hereby in the Second Tranche would, subject to the satisfaction of certain conditions and customary closing conditions, be made on the Second Tranche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or any prospectus supplement or amendment hereto. We have not authorized anyone to provide you with different information. 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Gunnar &amp; Co.,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VivoSim Labs,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910"/>
        <w:gridCol w:w="60"/>
        <w:gridCol w:w="275"/>
      </w:tblGrid>
      <w:tr>
        <w:trPr/>
        <w:tc>
          <w:tcPr>
            <w:tcW w:w="791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ii</w:t>
            </w:r>
          </w:p>
        </w:tc>
      </w:tr>
      <w:tr>
        <w:trPr/>
        <w:tc>
          <w:tcPr>
            <w:tcW w:w="791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791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rPr>
                <w:t>Special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r>
      <w:tr>
        <w:trPr/>
        <w:tc>
          <w:tcPr>
            <w:tcW w:w="791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rPr>
                <w:t>Market, Industry and Other Data</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r>
      <w:tr>
        <w:trPr/>
        <w:tc>
          <w:tcPr>
            <w:tcW w:w="791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r>
      <w:tr>
        <w:trPr/>
        <w:tc>
          <w:tcPr>
            <w:tcW w:w="791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r>
      <w:tr>
        <w:trPr/>
        <w:tc>
          <w:tcPr>
            <w:tcW w:w="791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rPr>
                <w:t>Dilution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r>
      <w:tr>
        <w:trPr/>
        <w:tc>
          <w:tcPr>
            <w:tcW w:w="791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rPr>
                <w:t>Description of Capital Stock</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r>
      <w:tr>
        <w:trPr/>
        <w:tc>
          <w:tcPr>
            <w:tcW w:w="791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rPr>
                <w:t>Description of Securities We Are Offering</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w:t>
            </w:r>
          </w:p>
        </w:tc>
      </w:tr>
      <w:tr>
        <w:trPr/>
        <w:tc>
          <w:tcPr>
            <w:tcW w:w="791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rPr>
                <w:t>Material U.S. Federal Income Tax Considerations for Non-U.S. Holders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791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w:t>
            </w:r>
          </w:p>
        </w:tc>
      </w:tr>
      <w:tr>
        <w:trPr/>
        <w:tc>
          <w:tcPr>
            <w:tcW w:w="791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791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36</w:t>
            </w:r>
          </w:p>
        </w:tc>
      </w:tr>
      <w:tr>
        <w:trPr/>
        <w:tc>
          <w:tcPr>
            <w:tcW w:w="791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rPr>
                <w:t>Incorporation of Certain Information By Reference</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w:t>
            </w:r>
          </w:p>
        </w:tc>
      </w:tr>
      <w:tr>
        <w:trPr/>
        <w:tc>
          <w:tcPr>
            <w:tcW w:w="791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r>
      <w:tr>
        <w:trPr/>
        <w:tc>
          <w:tcPr>
            <w:tcW w:w="791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rPr>
                <w:t>Disclosure of Commission Position on Indemnification for Securities Act Liabilities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U.S. Securities and Exchange Commission (the “SEC”). The registration statement we filed with the SEC includes exhibits that provide more detail of the matters discussed in this prospectus. You should read this prospectus and the related exhibits filed with the SEC before making your investment decision. You should rely only on the information provided in this prospectus. In addition, this prospectus contains summaries of certain provisions contained in some of the documents described herein, but reference is made to the actual documents for complete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even though this prospectus is delivered or securities are sold or otherwise disposed of on a later date. It is important for you to read and consider all information contained in this prospectus when making your investment decision. All of the summaries in this prospectus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Placement Agent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Placement Agent have done anything that would permit this offering or possession or distribution of this prospectus in any jurisdiction where action for that purpose is required, other than in the United States. Persons who come into possession of this prospectus and any free writing prospectus in jurisdictions outside the United States are required to inform themselves about and to observe any restrictions as to this offering and the distribution of this prospectus and any free writing prospectus applicable to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an offer to sell only the securities offered hereby, and only under circumstances and in jurisdictions where it is lawful to do so. We are not, and the Placement Agent is not, making an offer to sell these securities in any state or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Industry publications and third-party research, surveys and studies often indicate that their information has been obtained from sources believed to be reliable, although they do not guarantee the accuracy or completeness of such information and such information is inherently imprecise.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while we are responsible for all of the disclosure contained in this prospectus and the documents incorporated by reference in this prospectus and we believe the industry, market and competitive position data included in this prospectus and the documents incorporated by reference in this prospectus is reliable and based on reasonable assumptions, such data involve risks and uncertainties and are subject to change based on various factors, including those discussed in the section titled “Special Note Regarding Forward-Looking Statements” in this prospectus and in the section titled “Risk Factors” incorporated by reference in this prospectus from our most recent Annual Report on Form 10-K and subsequent Quarterly Reports on Form 10-Q. These and other factors could cause results to differ materially from those expressed in the estimates made by the independent parties or by us. Accordingly, investors should not place undue reliance on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3" w:name="a_002"/>
      <w:bookmarkEnd w:id="3"/>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in this prospectus. This summary does not contain all of the information you should consider before investing in our securities. You should read this entire prospectus carefully, including the sections of this prospectus titled “Risk Factors,” and “Special Note Regarding Forward-Looking Statements” and under similar captions in the documents incorporated by reference into this prospectus, before making an investment decision. Unless otherwise indicated, all references in this prospectus to “VivoSim,” the “company,” “we,” “our,” “us” or similar terms refer to VivoSim Labs, Inc. and its wholly owned subsidiaries, including VivoSim, Inc. and Organovo, Inc.</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Overview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VivoSim Labs, Inc. (Nasdaq: VIVS), together with its wholly owned subsidiaries (collectively, “VivoSim”, “we”, “us” and “our”), is a pharmaceutical and biotechnology services company that is focused on providing testing of drugs and drug candidates in three-dimensional (“3D”) human tissue models of liver and intestine. We offer partners liver and intestinal toxicology insights using our new approach methodologies (“NAM”) models. We anticipate accelerated adoption of human tissue models following the U.S. Food and Drug Administration (“FDA”) announcement on April 10, 2025 to refine animal testing requirements in favor of these non-animal NAM methods. We also expect to offer bespoke services in the areas of investigational toxicology, mechanism of drug action elucidation, and other applications of these complex human tissue models.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also advance product candidates to treat inflammatory bowel disease (“IBD”) discovered and developed using our complex human tissue intestinal models. Prior to March 2025, we were a clinical stage biotechnology company that was focused on developing FXR314 in IBD, including ulcerative colitis (“UC”), based on demonstration of clinical promise in 3D human tissues as well as strong preclinical data. Our clinical focus was in advancing FXR314 in IBD, including UC and Crohn’s disease (“CD”). We planned to start a Phase 2a clinical trial in UC in the calendar year 2025 and were also exploring the potential for combination therapies using FXR314 and approved mechanisms in preclinical animal studies and our IBD disease models. We have also advanced a second program since 2023, a novel drug that will be a new chemical entity (“NCE”) to an undisclosed target discovered in our intestinal models to have activity for UC and CD. This drug program (the “Preclinical IBD Program”) has now left the in-silico phase in recent quarters, and has moved to medicinal chemistry stage, the real-world synthesis of novel candidate compounds.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March 2025, we sold our FXR program for $10.0 million, with $9.0 million paid at closing and $1.0 million held in escrow for a period of 15 months, with future milestones of up to $50.0 million in the aggregate to be paid if the lead asset, FXR314, hits key development, regulatory and commercial milestones.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Effective April 24, 2025, we changed our corporate name to VivoSim Labs, Inc. by filing a Certificate of Amendment to our Amended and Restated Certificate of Incorporation with the Secretary of State of the State of Delaware. We changed our name to reflect our new business model, which includes the use of other longstanding assets of the Company, intestinal and liver tox models and expertise, and our IP portfolio for 3D bioprinting.</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continue to advance our Preclinical IBD Program, with the goal of having a product candidate ready for an Investigational New Drug with the FDA by December 2026.</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now offering liver toxicology predictive screening and research services as well as working on predicting and studying the intestinal side effect profiles of drugs that are therapeutic candidates of pharmaceutical and biotech companies at all stages of drug development. We plan to not only market this directly to pharmaceutical and biotech companies, but also partner with specific contract research organizations to complement our offering and to quickly grow our portfolio of clients. Our services offer the potential benefit of reducing the significant risk and cost of bringing therapeutics to market through the regulatory process. It is estimated that less than 10% of drug candidates entering clinical trials are approved, with a portion of the failures due to unexpected liver toxicity or intestinal intolerability. In addition, even approved drugs are occasionally withdrawn after liver toxicity is determined to be caused by the drug in a phenomenon called drug induced liver injury. We presented findings at the May 2025 Digestive Disease Week scientific conference showing that our liver toxicology platform had a best-in-class predictive power. Our liver predictive power was shown to be 87.5% for a set of challenging liver toxicity cases – inclusive of classic cases of “liver tox misses” drugs with unforeseen liver toxicity found in clinical trials or drugs that were withdrawn from the market after liver toxicity issues emerged later. The platform identified correctly that 87.5% of the known liver-toxic drugs could be seen as liver toxic using NAMkind™ liver. This is known as the sensitivity of the platform, which we believe at 87.5% is a world’s best. Importantly, the specificity was 100%, meaning that none of the compounds tested that are not liver toxic were incorrectly identified as having liver toxicity issues by the platform.</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use our proprietary technologies to build functional 3D human tissues that mimic key aspects of native human tissue composition, architecture, function, and disease. We believe these attributes can enable critical complex, multicellular disease models that can be used to study and develop clinically effective drugs across multiple therapeutic areas.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also used these human disease models to identify new molecular targets responsible for driving IBD and to explore the mechanism of action of known drugs including JAK inhibitors and related molecules. A portion of our internal research continues to focus on early stage internal drug discovery programs, validating targets, and testing potentially licensable or transactable external drug compounds to identify drug candidates for partnering and/or internal clinical development. This includes the Preclinical IBD Program, which has reached a more mature stage than other efforts in this area.</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incorporated in Delaware under the name Organovo Holdings, Inc. in January 2012 and in April 2025, changed our name to VivoSim Labs, Inc. We are operating the business of our subsidiaries, including Organovo, Inc., our wholly-owned subsidiary, which we acquired in February 2012, and VivoSim, Inc., our wholly-owned subsidiary. Organovo, Inc. was incorporated in Delaware in April 2007. VivoSim, Inc. was incorporated in Delaware in April 2025. Our common stock has traded on the Nasdaq Capital Market under the symbol “VIVS” since April 24, 2025. Prior to that time, it had traded on the Nasdaq Capital Market under the symbol “ONVO” since December 27, 2019, prior to that it had traded on the Nasdaq Global Market under the symbol “ONVO” since August 8, 2016 and prior to that it traded on the NYSE MKT under the symbol “ONVO”.</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Our principal executive offices are located at 11555 Sorrento Valley Road, Suite 100, San Diego, CA 92121, and our telephone number is (858) 224-1000. Our website address is www.vivosim.ai.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Times;Serif" w:hAnsi="Times New Roman;Times;Serif"/>
          <w:b w:val="false"/>
          <w:i/>
          <w:caps w:val="false"/>
          <w:smallCaps w:val="false"/>
          <w:sz w:val="20"/>
          <w:bdr w:val="single" w:sz="12" w:space="5" w:color="000000"/>
        </w:rPr>
        <w:t>http://www.sec.gov</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“smaller reporting company” as defined in Rule 12b-2 of the Securities Exchange Act of 1934, as amended (the “Exchange Act”), and have elected to take advantage of certain of the scaled disclosure available for smaller reporting companies in this prospectus as well as our filings under the Exchange Act.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The Offering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991"/>
        <w:gridCol w:w="60"/>
        <w:gridCol w:w="9154"/>
      </w:tblGrid>
      <w:tr>
        <w:trPr/>
        <w:tc>
          <w:tcPr>
            <w:tcW w:w="991"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pPr>
            <w:r>
              <w:rPr/>
              <w:t> </w:t>
            </w:r>
          </w:p>
        </w:tc>
        <w:tc>
          <w:tcPr>
            <w:tcW w:w="9154"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VivoSim Labs, Inc.</w:t>
            </w:r>
          </w:p>
        </w:tc>
      </w:tr>
      <w:tr>
        <w:trPr/>
        <w:tc>
          <w:tcPr>
            <w:tcW w:w="9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15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 by us</w:t>
            </w:r>
          </w:p>
        </w:tc>
        <w:tc>
          <w:tcPr>
            <w:tcW w:w="60" w:type="dxa"/>
            <w:tcBorders/>
            <w:vAlign w:val="center"/>
          </w:tcPr>
          <w:p>
            <w:pPr>
              <w:pStyle w:val="TableContents"/>
              <w:bidi w:val="0"/>
              <w:spacing w:before="0" w:after="283"/>
              <w:jc w:val="left"/>
              <w:rPr/>
            </w:pPr>
            <w:r>
              <w:rPr/>
              <w:t> </w:t>
            </w:r>
          </w:p>
        </w:tc>
        <w:tc>
          <w:tcPr>
            <w:tcW w:w="9154"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2,366,862 shares of common stock.</w:t>
            </w:r>
          </w:p>
        </w:tc>
      </w:tr>
      <w:tr>
        <w:trPr/>
        <w:tc>
          <w:tcPr>
            <w:tcW w:w="9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15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offered by us</w:t>
            </w:r>
          </w:p>
        </w:tc>
        <w:tc>
          <w:tcPr>
            <w:tcW w:w="60" w:type="dxa"/>
            <w:tcBorders/>
            <w:vAlign w:val="center"/>
          </w:tcPr>
          <w:p>
            <w:pPr>
              <w:pStyle w:val="TableContents"/>
              <w:bidi w:val="0"/>
              <w:spacing w:before="0" w:after="283"/>
              <w:jc w:val="left"/>
              <w:rPr/>
            </w:pPr>
            <w:r>
              <w:rPr/>
              <w:t> </w:t>
            </w:r>
          </w:p>
        </w:tc>
        <w:tc>
          <w:tcPr>
            <w:tcW w:w="9154" w:type="dxa"/>
            <w:tcBorders/>
            <w:vAlign w:val="center"/>
          </w:tcPr>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pre-funded warrants to purchase up to 2,366,862 shares of common stock, in lieu of shares of common stock to purchasers whose purchase of shares in this offering would otherwise result in the purchaser, together with its affiliates and certain related parties, beneficially owning more than 4.99% (or, at the election of the purchaser, 9.99%) of our outstanding common stock immediately following the consummation of this offering, has the opportunity to purchase, if the purchaser so chooses, pre-funded warrants (each pre-funded warrant to purchase one share of our common stock) in lieu of shares that would otherwise result in the purchaser’s beneficial ownership exceeding 4.99% of our outstanding common stock (or, at the election of the purchaser, 9.99%). The purchase price of each pre-funded warrant and accompanying common warrant to purchase one and a half shares will equal the price at which one share of common stock and accompanying warrant to purchase one and a half shares of common stock is being sold to the public in this offering, minus $0.001, and the exercise price of each pre-funded warrant will be $0.001 per share. The pre-funded warrants will be immediately exercisable and may be exercised at any time until all of the pre-funded warrants are exercised in full. For each pre-funded warrant we sell, the number of shares we are offering will be decreased on a one-for-one basis. See “</w:t>
            </w:r>
            <w:r>
              <w:rPr>
                <w:rFonts w:ascii="Times New Roman;Times;Serif" w:hAnsi="Times New Roman;Times;Serif"/>
                <w:b w:val="false"/>
                <w:i/>
                <w:caps w:val="false"/>
                <w:smallCaps w:val="false"/>
                <w:sz w:val="20"/>
              </w:rPr>
              <w:t>Description of Securities We Are Offering</w:t>
            </w:r>
            <w:r>
              <w:rPr>
                <w:rFonts w:ascii="Times New Roman;Times;Serif" w:hAnsi="Times New Roman;Times;Serif"/>
                <w:b w:val="false"/>
                <w:i w:val="false"/>
                <w:caps w:val="false"/>
                <w:smallCaps w:val="false"/>
                <w:sz w:val="20"/>
              </w:rPr>
              <w:t>” on page 21  for more information. You should also read the form of pre-funded warrant, which will be filed as an exhibit to the registration statement that includes this prospectus. We are also registering the shares of common stock issuable upon the exercise of the pre-funded warrants. There is no established public trading market for the pre-funded warrants, and we do not expect a market to develop. In addition, we do not intend to list the pre-funded warrants on the Nasdaq Capital Market, any other national securities exchange or any other nationally recognized trading system. Without a trading market, the liquidity of the pre-funded warrants will be extremely limited.</w:t>
            </w:r>
          </w:p>
        </w:tc>
      </w:tr>
      <w:tr>
        <w:trPr/>
        <w:tc>
          <w:tcPr>
            <w:tcW w:w="9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15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warrants offered by us</w:t>
            </w:r>
          </w:p>
        </w:tc>
        <w:tc>
          <w:tcPr>
            <w:tcW w:w="60" w:type="dxa"/>
            <w:tcBorders/>
            <w:vAlign w:val="center"/>
          </w:tcPr>
          <w:p>
            <w:pPr>
              <w:pStyle w:val="TableContents"/>
              <w:bidi w:val="0"/>
              <w:spacing w:before="0" w:after="283"/>
              <w:jc w:val="left"/>
              <w:rPr/>
            </w:pPr>
            <w:r>
              <w:rPr/>
              <w:t> </w:t>
            </w:r>
          </w:p>
        </w:tc>
        <w:tc>
          <w:tcPr>
            <w:tcW w:w="915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warrants to purchase up to an aggregate of 3,550,293 shares of common stock. Each share of common stock or pre-funded warrant to purchase one share of common stock is being sold together with a common warrant to purchase one and a half shares of common stock. Each common warrant has an exercise price of $[          ] per share, will be immediately exercisable and will expire on the fifth anniversary of the original issuance date. The common warrants have price protection against subsequent dilutive issuances of shares of common stock, options, warrants and convertible securities, subject to a $0.01 per share of common stock floor, as further described herein. At any time after the closing of the Initial Tranche of the offering, the holders of the common warrants may exchange the common warrants on a cashless basis for a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The exercise price and the number of shares of common stock purchasable upon the exercise of the common warrants is subject to customary adjustments for stock splits and similar recapitalization transactions. The shares of common stock or the pre-funded warrants, as the case may be, and the accompanying common warrants can only be purchased together in this offering but will be issued separately and will be immediately separable upon issuance. See “</w:t>
            </w:r>
            <w:r>
              <w:rPr>
                <w:rFonts w:ascii="Times New Roman;Times;Serif" w:hAnsi="Times New Roman;Times;Serif"/>
                <w:b w:val="false"/>
                <w:i/>
                <w:caps w:val="false"/>
                <w:smallCaps w:val="false"/>
                <w:sz w:val="20"/>
              </w:rPr>
              <w:t>Description of Securities We Are Offering</w:t>
            </w:r>
            <w:r>
              <w:rPr>
                <w:rFonts w:ascii="Times New Roman;Times;Serif" w:hAnsi="Times New Roman;Times;Serif"/>
                <w:b w:val="false"/>
                <w:i w:val="false"/>
                <w:caps w:val="false"/>
                <w:smallCaps w:val="false"/>
                <w:sz w:val="20"/>
              </w:rPr>
              <w:t>” on page 21  for more information. You should also read the form of common warrant, which will be filed as an exhibit to the registration statement that includes this prospectus. We are also registering the shares of common stock issuable upon the exercise of the common warrants. There is no established public trading market for the common warrants, and we do not expect a market to develop. In addition, we do not intend to list the common warrants on the Nasdaq Capital Market, any other national securities exchange or any other nationally recognized trading system. Without a trading market, the liquidity of the pre-funded warrants will be extremely limited.</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30"/>
        <w:gridCol w:w="60"/>
        <w:gridCol w:w="8715"/>
      </w:tblGrid>
      <w:tr>
        <w:trPr/>
        <w:tc>
          <w:tcPr>
            <w:tcW w:w="143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Placement Agent Warrants offered by us</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We have also agreed to issue to the Placement Agent as compensation in connection with this offering Placement Agent Warrants to purchase up to 118,343 shares of common stock. The Placement Agent Warrants have an assumed exercise price of $2.11 per share (equal to 125% of the assumed combined public offering price per share of common stock and accompanying common warrant to purchase one and a half shares of common stock). The Placement Agent Warrants will be exercisable six months following issuance, and will terminate on the third anniversary of the initial exercise date. This prospectus also relates to the offering of the shares of common stock issuable upon exercise of the Placement Agent Warrants. See the descriptions of the Placement Agent Warrants in “</w:t>
            </w:r>
            <w:r>
              <w:rPr>
                <w:rFonts w:ascii="Times New Roman;Times;Serif" w:hAnsi="Times New Roman;Times;Serif"/>
                <w:i/>
                <w:sz w:val="20"/>
              </w:rPr>
              <w:t>Description of Securities We Are Offering</w:t>
            </w:r>
            <w:r>
              <w:rPr>
                <w:rFonts w:ascii="Times New Roman;Times;Serif" w:hAnsi="Times New Roman;Times;Serif"/>
                <w:sz w:val="20"/>
              </w:rPr>
              <w:t>” on page 21 and “</w:t>
            </w:r>
            <w:r>
              <w:rPr>
                <w:rFonts w:ascii="Times New Roman;Times;Serif" w:hAnsi="Times New Roman;Times;Serif"/>
                <w:i/>
                <w:sz w:val="20"/>
              </w:rPr>
              <w:t>Plan of Distribution</w:t>
            </w:r>
            <w:r>
              <w:rPr>
                <w:rFonts w:ascii="Times New Roman;Times;Serif" w:hAnsi="Times New Roman;Times;Serif"/>
                <w:sz w:val="20"/>
              </w:rPr>
              <w:t>” on page 33 for more information. You should also read the form of Placement Agent Warrant, which will be filed as an exhibit to the registration statement that includes this prospectus.</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of the offering</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This offering will terminate on April 30, 2026, unless we decide to terminate the offering (which we may do at any time in our discretion) prior to that date.</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Tranche</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This offering is comprised of two tranches (each, a “Tranche”). Pursuant to the Initial Tranche, purchasers of shares of common stock, or pre-funded warrants in lieu thereof, and accompanying common warrants will purchase up to $3,000,000 of shares of common stock.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Tranche</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Pursuant to the Second Tranche, purchasers of shares of common stock, or pre-funded warrants in lieu thereof, and accompanying common warrants to purchase one and a half shares of common stock will purchase up to $1,000,000 of shares of common stock on the Second Tranche Closing Date, subject to the satisfaction of certain conditions, including that (i) the closing price of our common stock on the trading day immediately before the Second Tranche Closing Date must be equal to the closing price of our common stock on the trading day immediately prior to the closing date of the Initial Tranche and (ii) the average daily trading volume of our common stock during the ten (10) consecutive trading days immediately prior to the Second Tranche Closing Date must be at least $100,000.  There can be no assurances that the conditions to closing the Second Tranche will be satisfied or that there will be a Second Tranche Closing.</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outstanding (as of December 31, 2025)</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2,607,962</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to be outstanding immediately after this offering</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4,974,824 shares, assuming no sale of pre-funded warrants, which, if sold, would reduce the number of shares of common stock that we are offering on a one-for-one basis, and further assuming no exercise of any common warrants or Placement Agent Warrants issued in this offering.</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Lock-up agreements</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We, our executive officers, our directors and our 10% or greater stockholders will enter into lock-up agreements with the Placement Agent. Under these agreements, we and each of these persons may not offer, sell, contract to sell or otherwise dispose of or hedge common stock or securities convertible or exchangeable for common stock, subject to certain exceptions. The restrictions contained in these agreement will be in effect for a period of ninety (90) days after the date of the last closing of a Tranche of this offering. For more information, see “</w:t>
            </w:r>
            <w:r>
              <w:rPr>
                <w:rFonts w:ascii="Times New Roman;Times;Serif" w:hAnsi="Times New Roman;Times;Serif"/>
                <w:i/>
                <w:sz w:val="20"/>
              </w:rPr>
              <w:t>Plan of Distribution.</w:t>
            </w:r>
            <w:r>
              <w:rPr>
                <w:rFonts w:ascii="Times New Roman;Times;Serif" w:hAnsi="Times New Roman;Times;Serif"/>
                <w:sz w:val="20"/>
              </w:rPr>
              <w:t>”</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intend to use the net proceeds from this offering for working capital and general corporate purposes, which could include capital expenditures, research and development expenditures, regulatory affairs expenditures, legal expenditures, including intellectual property protection and maintenance expenditures, acquisitions of new technologies and investments and business combinations. See “</w:t>
            </w:r>
            <w:r>
              <w:rPr>
                <w:rFonts w:ascii="Times New Roman;Times;Serif" w:hAnsi="Times New Roman;Times;Serif"/>
                <w:i/>
                <w:sz w:val="20"/>
              </w:rPr>
              <w:t>Use of Proceeds</w:t>
            </w:r>
            <w:r>
              <w:rPr>
                <w:rFonts w:ascii="Times New Roman;Times;Serif" w:hAnsi="Times New Roman;Times;Serif"/>
                <w:sz w:val="20"/>
              </w:rPr>
              <w:t>” on page 14  for more information.</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hanging="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310"/>
        <w:gridCol w:w="60"/>
        <w:gridCol w:w="8835"/>
      </w:tblGrid>
      <w:tr>
        <w:trPr/>
        <w:tc>
          <w:tcPr>
            <w:tcW w:w="131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As an investor, you should be able to bear a complete loss of your investment. You should carefully consider the information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beginning on page 9 of this prospectus and the other information included and incorporated by reference in this prospectus.</w:t>
            </w:r>
          </w:p>
        </w:tc>
      </w:tr>
      <w:tr>
        <w:trPr/>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Best efforts offering</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offer and sell the securities offered hereby to the purchasers through the Placement Agent. The Placement Agent is not required to buy or sell any specific number or dollar amount of the securities offered hereby, but it will use its reasonable best efforts to solicit offers to purchase the securities offered by this prospectus.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on page 33 for more information.</w:t>
            </w:r>
          </w:p>
        </w:tc>
      </w:tr>
      <w:tr>
        <w:trPr/>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trading symbol</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“VIVS.”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shares immediately outstanding following this offering is based on 2,607,962 shares of common stock outstanding as of December 31, 2025 and excludes the following as of December 31, 2025:</w:t>
      </w:r>
    </w:p>
    <w:p>
      <w:pPr>
        <w:pStyle w:val="TextBody"/>
        <w:bidi w:val="0"/>
        <w:spacing w:before="0" w:after="0"/>
        <w:ind w:left="979" w:right="0" w:hanging="489"/>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234,606 shares of common stock issuable upon the exercise of stock options outstanding at a weighted average exercise price of approximately $13.55 per share;</w:t>
            </w:r>
          </w:p>
        </w:tc>
      </w:tr>
    </w:tbl>
    <w:p>
      <w:pPr>
        <w:pStyle w:val="TextBody"/>
        <w:bidi w:val="0"/>
        <w:spacing w:before="0" w:after="0"/>
        <w:ind w:left="979" w:right="0" w:hanging="489"/>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539,060 shares of common stock issuable upon the exercise of warrants to purchase shares of our common stock, which are currently exercisable at an exercise price of $9.60 per share;</w:t>
            </w:r>
          </w:p>
        </w:tc>
      </w:tr>
    </w:tbl>
    <w:p>
      <w:pPr>
        <w:pStyle w:val="TextBody"/>
        <w:bidi w:val="0"/>
        <w:spacing w:before="0" w:after="0"/>
        <w:ind w:left="979" w:right="0" w:hanging="490"/>
        <w:jc w:val="left"/>
        <w:rPr>
          <w:caps w:val="false"/>
          <w:smallCaps w:val="false"/>
          <w:bdr w:val="single" w:sz="12" w:space="5" w:color="000000"/>
        </w:rPr>
      </w:pPr>
      <w:r>
        <w:rPr>
          <w:caps w:val="false"/>
          <w:smallCaps w:val="false"/>
          <w:bdr w:val="single" w:sz="12" w:space="5" w:color="000000"/>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of common stock available for issuance pursuant to the 2021 Inducement Equity Plan;</w:t>
            </w:r>
          </w:p>
        </w:tc>
      </w:tr>
    </w:tbl>
    <w:p>
      <w:pPr>
        <w:pStyle w:val="TextBody"/>
        <w:bidi w:val="0"/>
        <w:spacing w:before="0" w:after="0"/>
        <w:ind w:left="979" w:right="0" w:hanging="49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113,730 shares of common stock available for issuance pursuant to the Amended and Restated 2022 Equity Incentive Plan;</w:t>
            </w:r>
          </w:p>
        </w:tc>
      </w:tr>
    </w:tbl>
    <w:p>
      <w:pPr>
        <w:pStyle w:val="TextBody"/>
        <w:bidi w:val="0"/>
        <w:spacing w:before="0" w:after="0"/>
        <w:ind w:left="979" w:right="0" w:hanging="490"/>
        <w:jc w:val="left"/>
        <w:rPr>
          <w:caps w:val="false"/>
          <w:smallCaps w:val="false"/>
          <w:bdr w:val="single" w:sz="12" w:space="5" w:color="000000"/>
        </w:rPr>
      </w:pPr>
      <w:r>
        <w:rPr>
          <w:caps w:val="false"/>
          <w:smallCaps w:val="false"/>
          <w:bdr w:val="single" w:sz="12" w:space="5" w:color="000000"/>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3,708 shares of common stock available for issuance pursuant to the 2023 Employee Stock Purchase Plan; and</w:t>
            </w:r>
          </w:p>
        </w:tc>
      </w:tr>
    </w:tbl>
    <w:p>
      <w:pPr>
        <w:pStyle w:val="TextBody"/>
        <w:bidi w:val="0"/>
        <w:spacing w:before="0" w:after="0"/>
        <w:ind w:left="979" w:right="0" w:hanging="49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 shares of common stock reserved for future issuance upon vesting of restricted stock units granted subsequent to December 31, 2025.</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indicated, all information in this prospectus assumes no exercise of options under our equity incentive plans, no sale of pre-funded warrants in this offering, which, if sold, would reduce the number of shares of common stock that we are offering on a one-for-one basis, no issuance or exercise of common warrants and Placement Agent Warrants and that there is a Second Tranche Closing for the maximum amount thereof.</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the number of shares of our common stock outstanding immediately after this offering excludes additional shares of common stock that we may sell pursuant to a Sales Agreement that we entered into with JonesTrading Institutional Services LLC on March 16, 2018 (the “Sales Agreement”). As of the date of this prospectus, we may sell up to $3.1 million of shares of our common stock remaining available for sale by us under the Sales Agreement. Pursuant to General Instruction I.B.6 of Form S-3, in no event will we sell securities pursuant to shelf registration statements with a value more than one-third of the aggregate market value of our common stock held by non-affiliates in any 12 month period, so long as the aggregate market value of our common stock held by non-affiliates is less than $75 million.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4" w:name="a_003"/>
      <w:bookmarkEnd w:id="4"/>
      <w:r>
        <w:rPr>
          <w:rFonts w:ascii="Times New Roman;Times;Serif" w:hAnsi="Times New Roman;Times;Serif"/>
          <w:b/>
          <w:i w:val="false"/>
          <w:caps/>
          <w:sz w:val="20"/>
          <w:bdr w:val="single" w:sz="12" w:space="5" w:color="000000"/>
        </w:rPr>
        <w:t>Special Note Regarding Forward-Looking Statements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prospectus and any accompanying prospectus supplement may contain forward-looking statements within the meaning of Section 27A of the Securities Act of 1933, as amended (the “Securities Act”), and Section 21E of the Exchange Act, about VivoSim.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VivoSim. We caution our stockholders and other readers not to place undue reliance on such statements.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You should read this prospectus, any accompanying prospectus supplement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described in the “Risk Factors” section beginning on page 9 of this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You should assume that the information appearing in this prospectus, any accompanying prospectus supplement and any related free writing prospectus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5" w:name="a_004"/>
      <w:bookmarkEnd w:id="5"/>
      <w:r>
        <w:rPr>
          <w:rFonts w:ascii="Times New Roman;Times;Serif" w:hAnsi="Times New Roman;Times;Serif"/>
          <w:b/>
          <w:i w:val="false"/>
          <w:caps/>
          <w:sz w:val="20"/>
          <w:bdr w:val="single" w:sz="12" w:space="5" w:color="000000"/>
        </w:rPr>
        <w:t>Market, Industry and Other Data</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indicated, we have based the information concerning economic conditions, our industry and our market contained in this prospectus on a variety of sources, including information from third-party industry analysts and publications and our own estimates and research. This information involves a number of assumptions, estimates and limitations. The industry publications, surveys and forecasts and other public information generally indicate or suggest that their information has been obtained from sources believed to be reliable. None of the third-party industry publications used in this prospectus were prepared on our behalf. The industries in which we operate are subject to a high degree of uncertainty and risk due to a variety of factors, and are subject to change based on various factors, including those discussed in the “Risk Factors” section of this prospectus and in the other information contained in this prospectus. These and other factors could cause the information concerning our industry to differ materially from those expressed in this prospectus and incorporated by reference herein.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r>
        <w:rPr>
          <w:rFonts w:ascii="Times New Roman;Times;Serif" w:hAnsi="Times New Roman;Times;Serif"/>
          <w:b/>
          <w:i w:val="false"/>
          <w:caps/>
          <w:sz w:val="20"/>
          <w:bdr w:val="single" w:sz="12" w:space="5" w:color="000000"/>
        </w:rPr>
        <w:t>Dividend Policy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never declared or paid cash dividends on our common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our securities involve a substantial degree of risk and should be regarded as speculative. As a result, the purchase of our securities should be considered only by persons who can reasonably afford to lose their entire investment. Before you elect to purchase our securities, you should carefully consider the risk and uncertainties described below in addition to the risks and uncertainties described under “Risk Factors” in our Annual Report on Form 10-K for the fiscal year ended March 31, 2025, any subsequent Quarterly Report on Form 10-Q and our other filings with the SEC, all of which are incorporated by reference herein. Additional risks and uncertainties of which we are unaware or which we currently believe are immaterial could also materially adversely affect our business, financial condition or results of operations. If any of the risks or uncertainties discussed in this prospectus occur, our business, prospects, liquidity, financial condition and results of operations could be materially and adversely affected, in which case the trading price of our common stock could decline,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need to raise capital in this offering to support our operations. If we are unable to raise capital in this offering, our financial position will be materially adversely impacted.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since our inception, and we expect to continue to incur additional losses for the next several years. For the three months ended December 31, 2025, we had net losses of $2.7 million. From our inception through December 31, 2025, we had an accumulated deficit of $350.2 million. We believe that current cash on hand, prior to the receipt of any proceeds from this offering, is not sufficient to fund operations beyond July 2026. If we were to receive net proceeds of $3.4 million from this offering, we believe that the net proceeds from this offering, together with our existing cash and cash equivalents, will meet our capital needs into 2027. If we receive the foregoing net proceeds of $3.4 million in this offering, and if we raise an additional $5.0 million in net proceeds through the sale of securities or otherwise throughout 2026, we believe that we will then meet our capital needs through the end of 2027. In addition, the report of our independent registered public accounting firm on our financial statements for the fiscal year ended March 31, 2025 contains explanatory language that substantial doubt exists about our ability to continue as a going concern. If we do not have access to sufficient cash and liquidity to finance our business operations as currently contemplated, we would be compelled to reduce general and administrative expenses and delay research and development projects, including the purchase of scientific equipment and supplies, until we are able to obtain sufficient financing. We have no additional committed sources of capital and may find it difficult to raise money on terms favorable to us or at all. The failure to obtain sufficient capital to support our operations would have a material adverse effect on our business, financial condition and results of operations. If such sufficient financing is not received timely, we would then need to pursue a plan to license or sell assets, seek to be acquired by another entity, cease operations and/or seek bankruptcy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satisfy the conditions to closing the Second Tranche and may not receive all of the proceeds from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agreements that purchasers in this offering will enter into with us will contain a number of conditions that must be satisfied before a Second Tranche Closing can occur. All of those conditions may never be met in the future. If the conditions to the Second Tranche Closing are not met or waived by the purchasers, we may not have access to funds needed to finance our operations, which could lead to adverse financial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who purchase our securities in this offering pursuant to a securities purchase agreement may have rights not available to purchasers that purchase without the benefit of a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rights and remedies available to all purchasers in this offering under federal securities and state law, the purchasers that enter into a securities purchase agreement will also be able to bring claims of breach of contract against us. The ability to pursue a claim for breach of contract provides those investors with the means to enforce the covenants uniquely available to them under the securities purchase agreement including: timely delivery of securities, indemnification for breach of contract, an agreement not enter into equity financings for a period post-closing and an agreement not to enter into variable rate financings for a period post-closing.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is a best efforts offering, no minimum amount of securities is required to be sold, and we may not raise the amount of capital we believe is required for our business plans, including our near-term business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or amount of proceeds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herein.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including our near-term continued operations.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on page 14 for more information. We may not raise the amount of capital we believe is required for our operations in the short-term and may need to raise additional funds to complete such short-term operations. Such additional fundraises may not be available or available on terms acceptable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has broad discretion as to the use of the net proceeds from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If we do not invest or apply the net proceeds from this offering in ways that enhance stockholder value, we may fail to achieve expected results, which could cause our common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securities in this offering, you will experience immediate and substantial dilution and may experience additional dilution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purchasing shares of our common stock and accompanying common warrants in this offering will pay a price per share that substantially exceeds the as adjusted net tangible book value per share. As a result, investors purchasing our common stock and accompanying common warrants in this offering will incur immediate dilution of $0.36 per share, representing the difference between the assumed public offering price of $1.69 per share, which is the last reported sale price of our common stock on the Nasdaq Capital Market on March 26, 2026, and our as adjusted net tangible book value as of December 31, 2025, and after deducting Placement Agent fees and estimated offering expenses payable by us. For more information on the dilution you may suffer as a result of investing in this offering, see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likely not receive any additional funds upon the exercise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may be exercised on a cashless basis during the term of the common warrants, in which case the holder would not pay a cash purchase price upon exercise, but instead would receive upon such exercise the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Accordingly, it is highly unlikely that a holder of the common warrants would wish to pay an exercise price in cash to receive one share of common stock when they could instead choose the cashless exercise option and pay no cash to receive more shares of common stock than would be issuable upon a cash exercise. As a result, we will likely not receive any additional funds and do not expect to receive any additional funds upon the exercise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common warrants are cashlessly exercised, shareholders are likely to suffer substantial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may be exercised on a cashless basis during the term of the common warrants, in which case the holder would not pay a cash purchase price upon exercise, but instead would receive upon such exercise the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Accordingly, stockholders are likely to suffer substantial dilution as a result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there is no minimum required for the offering to close, investors in this offering will not receive a refund in the event that we do not sell an amount of securities sufficient to pursue the business goals outlined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specified a minimum offering amount nor have or will we establish an escrow account in connection with this offering. Because there is no escrow account and no minimum offering amount, investors could be in a position where they have invested in our company, but we are unable to fulfill our objectives due to a lack of interest in this offering. Further, because there is no escrow account in operation and no minimum investment amount, any proceeds from the sale of securities offered by us will be available for our immediate use, despite uncertainty about whether we would be able to use such funds to effectively implement our business plan. Investor funds will not be returned under any circumstances whether during or after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equity or convertible debt securities in the future, which may result in additional dilution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expect to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and accompanying common warrant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of our common stock in the public market, or the perception that such sales could occur, could cause our stock price to 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or the perception that these sales could occur, following this offering could cause the market price of our common stock to decline. A substantial majority of the outstanding shares of our common stock are, and the shares of common stock sold in this offering, as well as shares issuable upon exercise of common warrants or pre-funded warrants, upon issuance will be, freely tradable without restriction or further registration under the Securities Act. We may sell large quantities of our common stock at any time pursuant to one or more separate offerings in the future, including through “at the market offerings” pursuant the Sales Agreement. We cannot predict the effect that future sales of common stock or other equity-related securities would have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public market for common warrants or the pre-funded warrants to purchase shares of our common stock being offered by us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common warrants or pre-funded warrants to purchase shares of our common stock that are being offered as part of this offering, and we do not expect a market to develop. In addition, we do not intend to apply to list the common warrants or pre-funded warrants on any national securities exchange or other nationally recognized trading system, including the Nasdaq Capital Market. Without an active market, the liquidity of the common warrants and pre-funded warrants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warrants and pre-funded warrants are speculative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and pre-funded warrants do not confer any rights of common stock ownership on their holders, such as voting rights or the right to receive dividends, but rather merely represent the right to acquire shares of common stock at a fixed price. Specifically, commencing on the date of issuance, holders of the common warrants may exercise their right to acquire common stock and pay an exercise price of $[          ] per share, subject to certain adjustments, prior to five years from the date on which such warrants were issued, after which date any unexercised common warrants will expire and have no further value. Holders of pre-funded warrants may exercise their right to acquire common stock at any time after issuance and the pre-funded warrants have an exercise price of $0.001, subject to certain adjustments, and do not expire until exercised in full. Moreover, following this offering, the market value of the common warrants and pre-funded warrants, if any, is uncertain and there can be no assurance that the market value of the common warrants or the pre-funded warrants will equal or exceed their imputed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the common warrants and pre-funded warrants offered hereby will have no rights as common stockholders with respect to the shares of our common stock underlying the common warrants and pre-funded warrants until such holders exercise their common warrants and pre-funded warrants and acquire our common stock, except as otherwise provided in the common warrants and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holders of the common warrants and pre-funded warrants acquire shares of our common stock upon exercise thereof, such holders will have no rights with respect to the shares of our common stock underlying such warrants. Upon exercise of the common warrants and pre-funded warrants, the holders will be entitled to exercise the rights of a common stockholder only as to matters for which the record date occurs after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 and Liquidity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fail to maintain the listing of our common stock on the Nasdaq Capital Market, which could seriously harm the liquidity of our stock and our ability to raise capital or complete a strategic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 (“Nasdaq”) has established continued listing requirements, including a requirement to maintain a minimum closing bid price of at least $1 per share. If a company trades for 30 consecutive business days below such minimum closing bid price, it will receive a deficiency notice from Nasdaq. Assuming it is in compliance with the other continued listing requirements, Nasdaq would provide such company a period of 180 calendar days in which to regain compliance by maintaining a closing bid price at least $1 per share for a minimum of ten consecutive business days. There can be no assurance that we will continue to maintain compliance with the minimum bid price requirement or other listing requirements necessary for us to maintain the listing of our common stock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prior non-compliance with the Nasdaq requirement to maintain a minimum of $2,500,000 in stockholders’ equity, as set forth in Nasdaq Listing Rule 5550(b)(1) (“Rule 5550(b)(1)”), we are to subject to a Mandatory Panel Monitor until April 30, 2026. If, within that one-year monitoring period, the Listing Qualifications Staff of Nasdaq (the “Staff”) finds us again out of compliance with Rule 5550(b)(1), we will not be permitted to provide the Staff with a plan of compliance with respect to that deficiency and the Staff will not be permitted to grant additional time for us to regain compliance with respect to that deficiency, nor will we be afforded an applicable cure or compliance period pursuant to Nasdaq Listing Rule 5810(c)(3). Instead, the Staff will issue a Delist Determination Letter and we will have an opportunity to request a new hearing with the initial Hearings Panel or a newly convened Hearings Panel if the initial Hearings Panel is unavailable. We will have the opportunity to respond/present to the Hearings Panel as provided by Nasdaq Listing Rule 5815(d)(4)(C). Our securities may be at that time delisted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delisting from the Nasdaq Capital Market and commencement of trading on the Over-the-Counter Bulletin Board would likely result in a reduction in some or all of the following, each of which could have a material adverse effect on stockholders:</w:t>
      </w:r>
    </w:p>
    <w:p>
      <w:pPr>
        <w:pStyle w:val="TextBody"/>
        <w:bidi w:val="0"/>
        <w:spacing w:before="0" w:after="0"/>
        <w:ind w:left="979" w:right="0" w:hanging="49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our common stock;</w:t>
            </w:r>
          </w:p>
        </w:tc>
      </w:tr>
    </w:tbl>
    <w:p>
      <w:pPr>
        <w:pStyle w:val="TextBody"/>
        <w:bidi w:val="0"/>
        <w:spacing w:before="0" w:after="0"/>
        <w:ind w:left="979" w:right="0" w:hanging="49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(and the accompanying valuation of our Company);</w:t>
            </w:r>
          </w:p>
        </w:tc>
      </w:tr>
    </w:tbl>
    <w:p>
      <w:pPr>
        <w:pStyle w:val="TextBody"/>
        <w:bidi w:val="0"/>
        <w:spacing w:before="0" w:after="0"/>
        <w:ind w:left="979" w:right="0" w:hanging="49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17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 or complete a strategic transaction;</w:t>
            </w:r>
          </w:p>
        </w:tc>
      </w:tr>
    </w:tbl>
    <w:p>
      <w:pPr>
        <w:pStyle w:val="TextBody"/>
        <w:bidi w:val="0"/>
        <w:spacing w:before="0" w:after="0"/>
        <w:ind w:left="979" w:right="0" w:hanging="49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institutional and other investors that will consider investing in shares of our common stock;</w:t>
            </w:r>
          </w:p>
        </w:tc>
      </w:tr>
    </w:tbl>
    <w:p>
      <w:pPr>
        <w:pStyle w:val="TextBody"/>
        <w:bidi w:val="0"/>
        <w:spacing w:before="0" w:after="0"/>
        <w:ind w:left="979" w:right="0" w:hanging="490"/>
        <w:jc w:val="left"/>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market markers or broker-dealers for our common stock; and</w:t>
            </w:r>
          </w:p>
        </w:tc>
      </w:tr>
    </w:tbl>
    <w:p>
      <w:pPr>
        <w:pStyle w:val="TextBody"/>
        <w:bidi w:val="0"/>
        <w:spacing w:before="0" w:after="0"/>
        <w:ind w:left="979" w:right="0" w:hanging="490"/>
        <w:jc w:val="left"/>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information concerning the trading prices and volume of shares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an active market in our common stock will continue at present levels or increase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traded on the Nasdaq Capital Market, but there is no assurance that an active market in our common stock will continue at present levels or increase in the future. As a result, an investor may find it difficult to dispose of our common stock on the timeline and at the volumes they desire. This factor limits the liquidity of our common stock and may have a material adverse effect on the market price of our common stock and on our ability to raise additional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Capital Requirements, Finances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engage in strategic transactions, including acquisitions, investments, joint development agreements or divestitures that may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pursue transactions, including acquisitions of complementary businesses, technology licensing arrangements, strategic relationships, and joint development agreements to expand our product offerings and geographic presence as part of our business strategy, which could be material to our financial condition and results of operations. We may also consider divesting programs or other assets or out-licensing our technology. We may not complete transactions in a timely manner, on a cost-effective basis, or at all, and we may not realize the expected benefits of any acquisition, license arrangement, strategic relationship, joint development agreement or divestiture. Other companies may compete with us for these strategic opportunities. We also could experience negative effects on our results of operations and financial condition from charges related to acquisitions and investments, amortization of intangible assets and asset impairment charges, and other issues that could arise in connection with, or as a result of, acquisitions or divestitures, including issues related to internal control over financial reporting, regulatory or compliance issues and potential adverse short-term effects on results of operations through increased costs or otherwise. Acquisitions involve numerous risks, including the following:</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finding suitable partners or acquisition candidates or purchasers for programs or assets that we may seek to divest;</w:t>
            </w:r>
          </w:p>
        </w:tc>
      </w:tr>
    </w:tbl>
    <w:p>
      <w:pPr>
        <w:pStyle w:val="TextBody"/>
        <w:bidi w:val="0"/>
        <w:spacing w:before="0" w:after="0"/>
        <w:ind w:left="979" w:right="0" w:hanging="49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obtaining financing on favorable terms, if at all;</w:t>
            </w:r>
          </w:p>
        </w:tc>
      </w:tr>
    </w:tbl>
    <w:p>
      <w:pPr>
        <w:pStyle w:val="TextBody"/>
        <w:bidi w:val="0"/>
        <w:spacing w:before="0" w:after="0"/>
        <w:ind w:left="979" w:right="0" w:hanging="49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completing transactions on favorable terms, if at all;</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will pay more than the value we derive from the acquisition, which could result in future non-cash impairment charges and/or a dilution of future earnings per share;</w:t>
            </w:r>
          </w:p>
        </w:tc>
      </w:tr>
    </w:tbl>
    <w:p>
      <w:pPr>
        <w:pStyle w:val="TextBody"/>
        <w:bidi w:val="0"/>
        <w:spacing w:before="0" w:after="0"/>
        <w:ind w:left="979" w:right="0" w:hanging="49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 of certain known and unknown liabilities of acquired companies;</w:t>
            </w:r>
          </w:p>
        </w:tc>
      </w:tr>
    </w:tbl>
    <w:p>
      <w:pPr>
        <w:pStyle w:val="TextBody"/>
        <w:bidi w:val="0"/>
        <w:spacing w:before="0" w:after="0"/>
        <w:ind w:left="979" w:right="0" w:hanging="49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debt, contingent liabilities, or future write-offs of intangible assets or goodwill;</w:t>
            </w:r>
          </w:p>
        </w:tc>
      </w:tr>
    </w:tbl>
    <w:p>
      <w:pPr>
        <w:pStyle w:val="TextBody"/>
        <w:bidi w:val="0"/>
        <w:spacing w:before="0" w:after="0"/>
        <w:ind w:left="979" w:right="0" w:hanging="49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7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retaining key relationships with employees, customers, partners and suppliers following any transaction; and</w:t>
            </w:r>
          </w:p>
        </w:tc>
      </w:tr>
    </w:tbl>
    <w:p>
      <w:pPr>
        <w:pStyle w:val="TextBody"/>
        <w:bidi w:val="0"/>
        <w:spacing w:before="0" w:after="0"/>
        <w:ind w:left="979" w:right="0" w:hanging="490"/>
        <w:jc w:val="left"/>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operating in different business markets where we may not have historical experience.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could have a negative impact on our business, results of operations or financial position. Further, past and potential acquisitions entail risks, uncertainties and potential disruptions to our business, especially where we have limited experience as a company developing or marketing a particular product or technology. Following any acquisition, we must integrate the new business, which can be expensive, time-consuming and cause disruptions to our existing operations. Failure to timely and successfully integrate acquired businesses may result in non-compliance with regulatory or other requirements and may result in unexpected costs, including as a result of inadequate cost containment and failure to fully realize expected synergies. As a result of any of the foregoing, we may not realize the expected benefit from any acquisition or investment. If we cannot integrate acquired businesses, products or technologies, our business, financial conditions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divestitures may result in a dilutive impact to our future earnings, as well as significant write-offs, including those related to goodwill and other intangible assets, which could have a material adverse effect on our results of operations and financial condition. Divestitures could involve additional risks, including difficulties in the separation of operations, services, products and personnel, the diversion of management’s attention from other business concerns, the disruption of our business and the potential loss of key employees. We may not be successful in managing these or any other significant risks that we encounter in divesting a product or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tax laws, which changes may have retroactive application, could adversely affect the Company or holders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many changes have been made to applicable tax laws and changes are likely to continue to occur in the future. The “One Big Beautiful Bill Act”, which was signed into law on July 4, 2025 (the “OBBA”), made significant changes to the U.S. federal income tax laws in various areas which may be subject to further clarification and the issuance of interpretive guidance. Among the notable changes, the OBBA permanently extended certain provisions that were enacted in the Tax Cuts and JOBS Act of 2017, most of which expired after December 31, 2025. We are assessing the legislation and the effect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changes in tax laws could have a material adverse effect on our business, cash flow, financial condition or results of operations. The impact of these tax reforms on holders of our common stock is uncertain and could be adverse. We urge our stockholders to consult with their legal and tax advisors with respect to such legislation and the potential tax consequences of investing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Claims, litigation, government investigations and other proceedings may adversely affect our business, operating results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from time to time, involved in various claims, litigation matters and regulatory proceedings that could have a material adverse effect on us. These matters may include intellectual property disputes, contract disputes, employment and tax matters and other proceedings and litigation, including class action lawsuits. It is not possible to predict the outcome of pending or future litigation and any such claims, with or without merit, could be time consuming and expensive, and may require the Company to incur substantial costs and divert the resources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on August 27, 2024, H.C. Wainwright &amp; Co., LLC (“H.C. Wainwright”) filed a complaint against us in the State of New York alleging that we breached a tail financing provision included in an engagement agreement we entered into with H.C. Wainwright in May 2023. In its complaint, H.C. Wainwright is seeking compensatory and consequential damages and attorneys’ fees. On October 18, 2024, we filed an answer to the complaint and on September 2, 2025, we filed an amended answer and counterclaimed for rescission, fraudulent inducement, and breach of contract, alleging that the Court should rescind the engagement agreement and award us damages, interest, costs, and attorneys’ fees because H.C. Wainwright misrepresented the services it would provide and breached its duties to us under the engagement agreement. We have briefed H.C. Wainwright's motion to dismiss our counterclaims. We are defending against H.C. Wainwright’s claims and pursuing our counterclaims vigorously, but there is no guarantee that we will be successful in these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and financial condition. In addition, it is possible that a resolution of any claim, including as a result of a settlement, could require us to make substantial future payments or require us to change our business practices each of which could have a material adverse effect on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receive net proceeds of approximately $3.4 million, after deducting the estimated Placement Agent fees and estimated offering expenses payable by us (based on an assumed combined public offering price of $1.69 per share of common stock and accompanying warrant to purchase one and a half shares of common stock), which was the last reported sales price of our common stock on the Nasdaq Capital Market on March 26, 2026) and assuming no sale of any pre-funded warrants and no exercise of common warrants or Placement Agent Warrants. We cannot predict when or if the pre-funded warrants, the common warrants and the Placement Agent Warrants will be exercised. It is possible that the common warrants and the Placement Agent Warrants may expire and may never be exercised. However, because this is a best efforts offering and there is no minimum offering amount required as a condition to the closing of this offering, the actual offering amount, the Placement Agens fees and net proceeds to us are not presently determinable and may be substantially less than the maximum amounts set forth on the cover page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may be exercised on a cashless basis during the term of the common warrants, in which case the holder would not pay a cash purchase price upon exercise, but instead would receive upon such exercise the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As a result, we will likely not receive any additional funds and do not expect to receive any additional funds upon the exercise of the common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proceeds of this offering for working capital and general corporate purposes, which could include capital expenditures, research and development expenditures, regulatory affairs expenditures, legal expenditures, including intellectual property protection and maintenance expenditures, acquisitions of new technologies and investments and business combinations. Pending these uses, we may invest the net proceeds in short- and intermediate-term interest-bearing obligations, investment-grade instruments, certificates of deposit or direct or guaranteed obligations of the United States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expected use of net proceeds from this offering represents our intentions based upon our current plans and business conditions, which could change in the future as our plans and business conditions evolve. We cannot currently allocate specific percentages of the net proceeds to us from this offering that we may use for the purposes specified above. Our management will have broad discretion in the application of the net proceeds from this offering and could use them for purposes other than those contemplated at the time of this offering. Our stockholders may not agree with the manner in which our management chooses to allocate and spend the net proceeds. Moreover, our management may use the net proceeds for corporate purposes that may not result in our being profitable or increase our market value. See “</w:t>
      </w:r>
      <w:r>
        <w:rPr>
          <w:rFonts w:ascii="Times New Roman;Times;Serif" w:hAnsi="Times New Roman;Times;Serif"/>
          <w:b w:val="false"/>
          <w:i/>
          <w:caps w:val="false"/>
          <w:smallCaps w:val="false"/>
          <w:sz w:val="20"/>
        </w:rPr>
        <w:t>Risk Factors—Risks Related to this Offering and the Ownership of Our Common Stock—Our management has broad discretion as to the use of the net proceeds from this 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our common stock in this offering, your interest will be diluted to the extent of the difference between the public offering price per share of common stock and accompanying common warrant to purchase one and a half shares of common stock and the net tangible book value per share of our common stock after this offering (excluding the shares of common stock issuable upon exercise of the common warrants and Placement Agent Warrants being offering in this offering and the payment of the exercise price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net tangible book value of approximately $3.2 million, or $1.23 per share. Net tangible book value per share represents the amount of total tangible assets less total liabilities divided by the number of shares of our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issuance and sale of 2,366,862 shares of our common stock in this offering and accompanying common warrants to purchase 3,550,293 shares of our common stock (excluding the shares of common stock issuable upon exercise of (i) the common warrants being offered in this offering and (ii) the Placement Agent Warrants) at an assumed combined public offering price of $1.69 per share and accompanying common warrant to purchase one and a half shares of common stock, the last reported sale price of our common stock on the Nasdaq Capital Market on March 26, 2026, assuming no sale of pre-funded warrants in this offering and no exercise of common warrants or Placement Agent Warrants and after deducting estimated Placement Agent fees and estimated offering expenses payable by us, our as adjusted net tangible book value as of December 31, 2026 would have been approximately $6.6 million, or approximately $1.33 per share. This amount represents an immediate increase in net tangible book value of approximately $0.10 per share to our existing stockholders and an immediate dilution in net tangible book value of approximately $0.36 per share to new investors purchasing shares of common stock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share to new investors is determined by subtracting as adjusted net tangible book value per share after this offering from the offering price per share paid by new investors. The as adjusted information below is based on an assumed combined public offering price of $1.69 per share and accompanying common warrant to purchase one and a half shares of common stock, the last reported sale price of our common stock on the Nasdaq Capital Market on March 26, 2026, and is illustrative only, and dilution following the closing of this offering will be adjusted based on the actual public offering price and other terms of this offering determined at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assuming the holders of the common warrants do not exercise any of the common warrants:</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500"/>
        <w:gridCol w:w="60"/>
        <w:gridCol w:w="125"/>
        <w:gridCol w:w="380"/>
        <w:gridCol w:w="60"/>
        <w:gridCol w:w="60"/>
        <w:gridCol w:w="125"/>
        <w:gridCol w:w="380"/>
        <w:gridCol w:w="75"/>
      </w:tblGrid>
      <w:tr>
        <w:trPr/>
        <w:tc>
          <w:tcPr>
            <w:tcW w:w="6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Assumed public offering price per share and accompanying common warrant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w:t>
            </w:r>
          </w:p>
        </w:tc>
        <w:tc>
          <w:tcPr>
            <w:tcW w:w="75" w:type="dxa"/>
            <w:tcBorders/>
            <w:shd w:fill="CCEEFF" w:val="cle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tangible book value per share as of December 31, 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adjusted net tangible book value per share, after giving effect to this offering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c>
          <w:tcPr>
            <w:tcW w:w="75"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Dilution per share to investors purchasing shares in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dilution information discussed above is illustrative only and may change based on the actual public offering price, the actual number of shares of common stock, pre-funded warrants and accompanying common warrants we offer in this offering and other terms of this offering determined at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$0.50 increase or decrease in the assumed public offering price of $1.69 per share of common stock and accompanying common warrant to purchase one and a half shares of common stock, based on the last reported sale price for our common stock as reported on the Nasdaq Capital Market on March 26, 2026, would decrease the number of shares of our common stock and accompanying common warrants offered in this offering by approximately 540,378 shares and accompanying common warrants to purchase 810,567 shares or increase the number of shares of our common stock and accompanying common warrants offered in this offering by approximately 994,483 shares and accompanying common warrants to purchase 1,491,724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increase or decrease the number of shares of common stock and accompanying common warrants we are offering. An increase of 100,000 in the number of shares of common stock and accompanying common warrants offered by us would increase our as adjusted net tangible book value by approximately $0.2 million, or $0.01 per share, and decrease the dilution per share to investors participating in this offering by $0.01 per share, assuming the assumed offering price per share remains the same and after deducting the estimated Placement Agent fees and estimated offering expenses payable by us. Similarly, a decrease of 100,000 in the number of shares of common stock and accompanying common warrants offered by us would decrease our as adjusted net tangible book value by approximately $0.1 million or less than $0.01 per share, and decrease the dilution per share to investors participating in this offering by less than $0.01 per share, assuming the assumed offering price per share remains the same and after deducting the estimated Placement Agent fees and estimated offering expenses payable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immediately outstanding following this offering is based on 2,607,962 shares of common stock outstanding as of December 31, 2025 and excludes the following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234,606 shares of common stock issuable upon the exercise of stock options outstanding at a weighted average exercise price of approximately $13.55 per share;</w:t>
            </w:r>
          </w:p>
        </w:tc>
      </w:tr>
    </w:tbl>
    <w:p>
      <w:pPr>
        <w:pStyle w:val="TextBody"/>
        <w:bidi w:val="0"/>
        <w:spacing w:before="0" w:after="0"/>
        <w:ind w:left="979" w:right="0" w:hanging="48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539,060 shares of common stock issuable upon the exercise of warrants to purchase shares of our common stock, which are currently exercisable at an exercise price of $9.60 per share;</w:t>
            </w:r>
          </w:p>
        </w:tc>
      </w:tr>
    </w:tbl>
    <w:p>
      <w:pPr>
        <w:pStyle w:val="TextBody"/>
        <w:bidi w:val="0"/>
        <w:spacing w:before="0" w:after="0"/>
        <w:ind w:left="979" w:right="0" w:hanging="489"/>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of common stock available for issuance pursuant to the 2021 Inducement Equity Plan;</w:t>
            </w:r>
          </w:p>
        </w:tc>
      </w:tr>
    </w:tbl>
    <w:p>
      <w:pPr>
        <w:pStyle w:val="TextBody"/>
        <w:bidi w:val="0"/>
        <w:spacing w:before="0" w:after="0"/>
        <w:ind w:left="979" w:right="0" w:hanging="48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113,730 shares of common stock available for issuance pursuant to the Amended and Restated 2022 Equity Incentive Plan;</w:t>
            </w:r>
          </w:p>
        </w:tc>
      </w:tr>
    </w:tbl>
    <w:p>
      <w:pPr>
        <w:pStyle w:val="TextBody"/>
        <w:bidi w:val="0"/>
        <w:spacing w:before="0" w:after="0"/>
        <w:ind w:left="979" w:right="0" w:hanging="489"/>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3,708 shares of common stock available for issuance pursuant to the 2023 Employee Stock Purchase Plan; and</w:t>
            </w:r>
          </w:p>
        </w:tc>
      </w:tr>
    </w:tbl>
    <w:p>
      <w:pPr>
        <w:pStyle w:val="TextBody"/>
        <w:bidi w:val="0"/>
        <w:spacing w:before="0" w:after="0"/>
        <w:ind w:left="979" w:right="0" w:hanging="48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 shares of common stock reserved for future issuance upon vesting of restricted stock units granted subsequent to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options, restricted units or warrants are additionally exercised or settled or other shares are issued, there may be further dilution to investors. In addition, we may choose to raise additional capital due to market conditions or strategic considerations even if we believe we have sufficient funds for our current or future operating plans. As of the date of this prospectus, we may sell up to $3.1 million of shares of our common stock remaining available for sale by us under the Sales Agreement. Pursuant to General Instruction I.B.6 of Form S-3, in no event will we sell securities pursuant to shelf registration statements with a value more than one-third of the aggregate market value of our common stock held by non-affiliates in any 12 month period, so long as the aggregate market value of our common stock held by non-affiliates is less than $75 million. To the extent that additional capital is raised through the sale of equity or convertible debt securities, the issuance of these securities could result in further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most important terms of our capital stock. Because it is only a summary of the provisions of our certificate of incorporation, as amended (the “Certificate of Incorporation”), and our amended and restated bylaws (the “Bylaws”), it does not contain all of the information that may be important to you. For a complete description of the matters set forth in this “Description of Capital Stock,” you should refer to our Certificate of Incorporation and Bylaws, each of which are included as exhibits to the registration statement of which this prospectus is a part, and to the applicable provisions of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200,000,000 shares of common stock, $0.001 par value per share, and 25,000,000 shares of preferred stock, $0.001 par value per share. Our Board of Directors (the “Board”) may establish the rights and preferences of the preferred stock from time to time. As of December 31, 2025, there were 2,607,962 shares of our common stock issued and outstanding and no shares of preferred stock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 Rights.</w:t>
      </w:r>
      <w:r>
        <w:rPr>
          <w:rFonts w:ascii="Times New Roman;Times;Serif" w:hAnsi="Times New Roman;Times;Serif"/>
          <w:b w:val="false"/>
          <w:i w:val="false"/>
          <w:caps w:val="false"/>
          <w:smallCaps w:val="false"/>
          <w:sz w:val="20"/>
        </w:rPr>
        <w:t xml:space="preserve"> Subject to limitations under Delaware law and preferences that may apply to any then-outstanding shares of preferred stock, holders of common stock are entitled to share ratably in dividends, if any, as may be declared from time to time by our Board in its discretion from funds legally available therefor. Dividends, if any, will be contingent upon our revenues and earnings, if any, and capital requirements and financial conditions. The payment of dividends, if any, will be within the discretion of our Board. We presently intend to retain all earnings, if any, and accordingly our Board does not anticipate declaring any dividends prior to a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our common stock are entitled to one vote for each share held on all matters submitted to a vote of the stockholders. Our Certificate of Incorporation does not provide for cumulative voting for the election of directors. Generally, all matters to be voted on by stockholders must be approved by a majority (or, in the case of election of directors, by a plurality) of the votes cast by all shares of common stock that are present in person or represented by proxy. The Certificate of Incorporation establishes a classified board of directors that is divided into three classes with staggered three-year terms. Only the directors in one class will be subject to election at each annual meeting of our stockholders, with the directors in the other classes continuing for the remainder of their respective three-year terms. The Certificate of Incorporation and the Bylaws also provide that the directors may be removed only for cause. In addition, VivoSim has reserved the right to amend, alter, change or repeal any provision in the Certificate of Incorporation, subject to any approval of our stockholders as may be required under the General Corporation Law of the State of Delaware (“DGCL”), and our Board is authorized to adopt, amend or repeal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Preemptive or Similar Rights.</w:t>
      </w:r>
      <w:r>
        <w:rPr>
          <w:rFonts w:ascii="Times New Roman;Times;Serif" w:hAnsi="Times New Roman;Times;Serif"/>
          <w:b w:val="false"/>
          <w:i w:val="false"/>
          <w:caps w:val="false"/>
          <w:smallCaps w:val="false"/>
          <w:sz w:val="20"/>
        </w:rPr>
        <w:t xml:space="preserve"> Our common stock is not entitled to preemptive rights, and is not subject to conversion, redemption or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 to Receive Liquidation Distributions</w:t>
      </w:r>
      <w:r>
        <w:rPr>
          <w:rFonts w:ascii="Times New Roman;Times;Serif" w:hAnsi="Times New Roman;Times;Serif"/>
          <w:b w:val="false"/>
          <w:i w:val="false"/>
          <w:caps w:val="false"/>
          <w:smallCaps w:val="false"/>
          <w:sz w:val="20"/>
        </w:rPr>
        <w:t>. In the event of a liquidation, dissolution or winding up, the holders of common stock are entitled to share pro rata all assets remaining after payment in full of all liabilities and after providing for each class of stock, if any, having preference over the common stock, subject to the liquidation preference of any then outstanding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Fully Paid and Non-Assessable.</w:t>
      </w:r>
      <w:r>
        <w:rPr>
          <w:rFonts w:ascii="Times New Roman;Times;Serif" w:hAnsi="Times New Roman;Times;Serif"/>
          <w:b w:val="false"/>
          <w:i w:val="false"/>
          <w:caps w:val="false"/>
          <w:smallCaps w:val="false"/>
          <w:sz w:val="20"/>
        </w:rPr>
        <w:t xml:space="preserve"> All of the outstanding shares of our common stock are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no shares of preferred stock are issued and outstanding. Our Board is authorized, subject to limitations prescribed by Delaware law, to issue up to 25,000,000 shares of preferred stock in one or more series, to determine and fix from time to time the number of shares to be included in such series, and to fix the designations, powers, preferences and rights, qualifications, limitations and restrictions thereof, including, without limitation, dividend rights, dividend rate, conversion rights, voting rights, rights and terms of redemption (including sinking fund provisions), redemption price or prices and liquidation preferences of such series, in each case without further vote or action by the stockholders. Our Board can also increase or decrease the number of shares of any such series, but not above the total number of authorized shares and not below the number of shares of such series then outstanding, without any further vote or action by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 We have no current plans to issue any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26, 2026, we had outstanding warrants to purchase an aggregate of 539,060 shares of common stock with an exercise price of $9.60 per share, all of which are currently exercisable (subject to certain beneficial ownership requirements) and expire on May 13,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outstanding warrants contain provisions for the adjustment of the exercise price in the event of stock dividends, stock splits or similar transactions. In addition, certain of the warrants contain a “cashless exercise” feature that allows the holders thereof to exercise the warrants without a cash payment to us under certain circumstances. Certain of the warrants also contain provisions that provide certain rights to warrant holders in the event of a fundamental transaction, including a merger or consolidation with or into another entity, such as:</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receive the same amount and kind of consideration paid to the holders of common stock in the fundamental transaction;</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require us or a successor entity to purchase the unexercised portion of certain warrants at the warrant’s respective fair value using the Black Scholes option pricing formula; or</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require us a successor entity to redeem the unexercised portion of certain warrants for the same consideration paid to holders of common stock in the fundamental transaction at the warrant’s respective fair value using the Black Scholes option pricing formula.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Certain Provisions of our Certificate of Incorporation, Bylaws and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Delaware law, along with the Certificate of Incorporation and the Bylaws, may have the effect of delaying, deferring or discouraging another person from acquiring control of us. These provisions are expected to discourage coercive takeover practices and inadequate takeover bids. These provisions are also designed, in part, to encourage persons seeking to acquire control of us to first negotiate with our Board. However, these provisions could have the effect of delaying, discouraging or preventing attempts to acquire us, which could deprive the stockholders of opportunities to sell their shares of our common stock at prices higher than prevailing market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Choice of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unless we consent in writing to the selection of an alternative forum, the Court of Chancery of the State of Delaware (or, if the Court of Chancery does not have jurisdiction, another state or federal court located in the State of Delaware) will be the sole and exclusive forum for: (1) any derivative action or proceeding brought on our behalf; (2) any action asserting a claim of breach of a fiduciary duty by any of our directors, officers or stockholders to us or our stockholders; (3) any action arising pursuant to any provision of the DGCL or the Certificate of Incorporation or the Bylaws; or (4) any action asserting a claim governed by the internal affairs doctrine. The provision will not apply to suits brought to enforce a duty or liability created by the Securities Act,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As a result, the choice of forum provision will not apply to suits brought to enforce any duty or liability created by the Exchange Act or any other claim for which the federal courts have exclusive jurisdiction. However, the Certificate of Incorporation does not relieve us of our duties to comply with federal securities laws and the rules and regulations thereunder, and our stockholders will not be deemed to have waived our compliance with these laws, rules and regulations. The Bylaws also provide that any person or entity purchasing or otherwise acquiring any interest in shares of our capital stock will be deemed to have notice of and to have consented to this choice of forum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 of forum provision in the Bylaws may limit a stockholder’s ability to bring a claim in a judicial forum that it finds favorable for disputes with us or our directors, officers, employees or agents, which may discourage such lawsuits against us and our directors, officers, employees or agents. In addition, stockholders who do bring a claim in the Court of Chancery in the State of Delaware could face additional litigation costs in pursuing any such claim, particularly if they do not reside in or near Delaware. Furthermore, the enforceability of similar choice of forum provisions in other companies’ governing documents has been challenged in legal proceedings, and it is possible that a court could find these types of provisions to be inapplicable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Board of Directors Vacancies.</w:t>
      </w:r>
      <w:r>
        <w:rPr>
          <w:rFonts w:ascii="Times New Roman;Times;Serif" w:hAnsi="Times New Roman;Times;Serif"/>
          <w:b w:val="false"/>
          <w:i w:val="false"/>
          <w:caps w:val="false"/>
          <w:smallCaps w:val="false"/>
          <w:sz w:val="20"/>
        </w:rPr>
        <w:t xml:space="preserve"> Any vacancy or newly created directorship in our Board, however occurring, shall be filled only by the vote of a majority of the directors then in office, although less than a quorum, and shall not be filled by the stockholders, unless our Board determines by resolution that any such vacancy or newly created directorship shall be filled by the stockholders. In addition, the number of directors constituting our Board shall be determined from time to time by a resolution adopted by our Board. These provisions may prevent a stockholder from increasing the size of our Board and then gaining control of our Board by filling the resulting vacancies with its own nominees. This makes it more difficult to change the composition of our Board and promotes continuity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Classified Board.</w:t>
      </w:r>
      <w:r>
        <w:rPr>
          <w:rFonts w:ascii="Times New Roman;Times;Serif" w:hAnsi="Times New Roman;Times;Serif"/>
          <w:b w:val="false"/>
          <w:i w:val="false"/>
          <w:caps w:val="false"/>
          <w:smallCaps w:val="false"/>
          <w:sz w:val="20"/>
        </w:rPr>
        <w:t xml:space="preserve"> Our Board is divided into three classes. The directors in each class will serve for a three-year term, one class being elected each year by the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Meetings.</w:t>
      </w:r>
      <w:r>
        <w:rPr>
          <w:rFonts w:ascii="Times New Roman;Times;Serif" w:hAnsi="Times New Roman;Times;Serif"/>
          <w:b w:val="false"/>
          <w:i w:val="false"/>
          <w:caps w:val="false"/>
          <w:smallCaps w:val="false"/>
          <w:sz w:val="20"/>
        </w:rPr>
        <w:t xml:space="preserve"> The Bylaws provide that a special meeting of stockholders may be called only by the chairperson of our Board, chief executive officer or president (in the absence of a chief executive officer) or a majority of the authorized number of directors, thus prohibiting a stockholder (in the capacity as a stockholder) from calling a special meeting. These provisions might delay the ability of the stockholders to force consideration of a proposal or for stockholders controlling a majority of the capital stock to take any action, including the 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Elimination of Stockholder Action by Written Consent.</w:t>
      </w:r>
      <w:r>
        <w:rPr>
          <w:rFonts w:ascii="Times New Roman;Times;Serif" w:hAnsi="Times New Roman;Times;Serif"/>
          <w:b w:val="false"/>
          <w:i w:val="false"/>
          <w:caps w:val="false"/>
          <w:smallCaps w:val="false"/>
          <w:sz w:val="20"/>
        </w:rPr>
        <w:t xml:space="preserve"> The Certificate of Incorporation and the Bylaws eliminate the right of stockholders to act by written consent without a meeting unless the action to be effected by written consent and the taking of such action by written consent is approved in advance by resolution of our Board. As a result, a holder controlling a majority of the capital stock would not be able to amend the Bylaws or remove directors without holding a meeting of the stockholders called in accordance with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r>
        <w:rPr>
          <w:rFonts w:ascii="Times New Roman;Times;Serif" w:hAnsi="Times New Roman;Times;Serif"/>
          <w:b w:val="false"/>
          <w:i w:val="false"/>
          <w:caps w:val="false"/>
          <w:smallCaps w:val="false"/>
          <w:sz w:val="20"/>
        </w:rPr>
        <w:t xml:space="preserve"> The Bylaws establish advance notice procedures with respect to stockholder proposals to be brought before a stockholder meeting and the nomination of candidates for election as directors. The Bylaws also specify certain requirements regarding the form and content of a stockholder’s notice. These provisions might preclude the stockholders from bringing matters before an annual meeting of stockholders or from making nominations for directors at an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Cumulative Voting.</w:t>
      </w:r>
      <w:r>
        <w:rPr>
          <w:rFonts w:ascii="Times New Roman;Times;Serif" w:hAnsi="Times New Roman;Times;Serif"/>
          <w:b w:val="false"/>
          <w:i w:val="false"/>
          <w:caps w:val="false"/>
          <w:smallCaps w:val="false"/>
          <w:sz w:val="20"/>
        </w:rPr>
        <w:t xml:space="preserve"> The Certificate of Incorporation does not permit stockholders to cumulate their votes in the election of directors. Accordingly, the holders of a majority of the outstanding shares of common stock entitled to vote in any election of directors can elect all of the directors standing for election, if they choose, other than any directors that holders of Preferred Stock may be entitled to elect.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Removed Only for Cause.</w:t>
      </w:r>
      <w:r>
        <w:rPr>
          <w:rFonts w:ascii="Times New Roman;Times;Serif" w:hAnsi="Times New Roman;Times;Serif"/>
          <w:b w:val="false"/>
          <w:i w:val="false"/>
          <w:caps w:val="false"/>
          <w:smallCaps w:val="false"/>
          <w:sz w:val="20"/>
        </w:rPr>
        <w:t xml:space="preserve"> The Certificate of Incorporation and the Bylaws provide that no member of our Board may be removed from office by the stockholders except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Undesignated Preferred Stock.</w:t>
      </w:r>
      <w:r>
        <w:rPr>
          <w:rFonts w:ascii="Times New Roman;Times;Serif" w:hAnsi="Times New Roman;Times;Serif"/>
          <w:b w:val="false"/>
          <w:i w:val="false"/>
          <w:caps w:val="false"/>
          <w:smallCaps w:val="false"/>
          <w:sz w:val="20"/>
        </w:rPr>
        <w:t xml:space="preserve"> The ability of our Board, without action by the stockholders, to issue up to 25,000,000 shares of undesignated preferred stock with voting or other rights or preferences as designated by our Board could impede the success of any attempt to change control of our company. This may have the effect of deferring hostile takeovers or delaying changes in control or management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Charter Provisions.</w:t>
      </w:r>
      <w:r>
        <w:rPr>
          <w:rFonts w:ascii="Times New Roman;Times;Serif" w:hAnsi="Times New Roman;Times;Serif"/>
          <w:b w:val="false"/>
          <w:i w:val="false"/>
          <w:caps w:val="false"/>
          <w:smallCaps w:val="false"/>
          <w:sz w:val="20"/>
        </w:rPr>
        <w:t xml:space="preserve"> VivoSim has reserved the right to amend, alter, change or repeal any provision in the Certificate of Incorporation, subject to any approval of our stockholders as may be required under the DGCL, and our Board is authorized to adopt, amend or repeal the Bylaws. The provisions of the DGCL, the Certificate of Incorporation and the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It is possible that these provisions could make it more difficult to accomplish transactions that stockholders may otherwise deem to be in their best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 One State Street, 30th Floor, New York, NY 10004.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“VIVS”. There is no established public trading market for the pre-funded warrants or common warrants to be sold in this offering, and we do not expect a market to develop. In addition, we do not intend to apply for listing of the common warrants or pre-funded warrants on any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Description of Securities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up to 2,366,862 shares of our common stock or pre-funded warrants in lieu thereof to purchase up to 2,366,862 shares of our common stock, together with common warrants to purchase up to an aggregate of 3,550,293 shares of common stock. Each share of common stock or pre-funded warrant in lieu thereof is being sold together with a common warrant to purchase one and a half shares of common stock. For each pre-funded warrant we sell, the number of shares of common stock we are offering will be decreased on a one-for-one basis. The shares of common stock or pre-funded warrants in lieu thereof and accompanying common warrants will be issued separately and will be immediately separable upon issuance but must be purchased together in this offering. We are also registering the shares of common stock issuable from time to time upon exercise of the common warrants and pre-funded warrants offered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common stock are described under the caption “</w:t>
      </w:r>
      <w:r>
        <w:rPr>
          <w:rFonts w:ascii="Times New Roman;Times;Serif" w:hAnsi="Times New Roman;Times;Serif"/>
          <w:b w:val="false"/>
          <w:i/>
          <w:caps w:val="false"/>
          <w:smallCaps w:val="false"/>
          <w:sz w:val="20"/>
        </w:rPr>
        <w:t>Description of Capital Stock – Common Stock</w:t>
      </w:r>
      <w:r>
        <w:rPr>
          <w:rFonts w:ascii="Times New Roman;Times;Serif" w:hAnsi="Times New Roman;Times;Serif"/>
          <w:b w:val="false"/>
          <w:i w:val="false"/>
          <w:caps w:val="false"/>
          <w:smallCaps w:val="false"/>
          <w:sz w:val="20"/>
        </w:rPr>
        <w:t>” in this prospectus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common warrants that are being offered hereby is not complete and is subject to, and qualified in its entirety by, the provisions of the common warrant, the form of which is filed as an exhibit to the registration statement of which this prospectus forms a part. Prospective investors should carefully review the terms and provisions of the form of common warrant for a complete description of the terms and conditions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common warrants to purchase up to an aggregate of 3,550,293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and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warrant issued in this offering represents the right to purchase one share of common stock at an initial exercise price of $[     ] per share. Each common warrant may be exercised only in cash and at the election of the holder immediately upon issuance and from time to time thereafter through and including the fifth anniversary of their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exercisable in whole or in part by delivering to the Company a completed instruction form for exercise and complying with the requirements for exercise set forth in the common warrant. Payment of the exercise price may be made solely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closing of the Initial Tranche (as defined below) of the offering, the holders of the common warrants may exchange the common warrants on a cashless basis for a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or scrip representing fractional shares shall be issued upon the exercise of the common warrants. As to any fraction of a share which the holder would otherwise be entitled to purchase upon such exercise, the number of shares of common stock to be issued shall be rounded up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holder will not have the right to exercise any portion of a common warrant if the holder (together with its affiliates) would beneficially own in excess of 4.99% (or, at the election of the holder, 9.99%), of the number of shares of our common stock outstanding immediately after giving effect to the exercise, as such percentage ownership is determined in accordance with the terms of the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for Dilutive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the begins on the date of the closing of the Initial Tranche and ends ninety (90) days after the last closing of a Tranche of this offering, we effect a Subsequent Financing (as defined in the Securities Purchase Agreement), or are deemed to have effected a Subsequent Financing, any shares of common tock (including the issuance or sale of common stock owned or held by or for the account of the Company) issued or sold or deemed to have been issued or sold) for a consideration per share (the “New Issuance Price”) less than a price equal to the exercise price of the common warrants in effect immediately prior to such issue or sale or deemed issuance or sale (such exercise price then in effect is referred to as the “Applicable Price”) (the foregoing a “Dilutive Issuance”), then immediately after such Dilutive Issuance, the exercise price then in effect shall be reduced (and in no event increased) to the price per share as determined in accordance with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EP2 = EP1 x (A + B) / (A + C)</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of common stock with respect to which a common warrant may be exercised.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total number of shares of common stock that would be issued or issuable under the Dilutive Issuance if issued at a per share equal to EP1.</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total number of shares of common stock actually issued or issuable under the Dilutive Issuance.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EP1= The exercise price in effect immediately prior to a Dilutive Issuance.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EP2= The exercise price immediately after such Dilutive Issuance;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price shall in no event be less than $0.01 per share of common stock (as may be adjusted for stock dividends, subdivisions, or combinations in the manner described in Section 2(a) herein, the “Floor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issuance or sale (or deemed issuance or sale) was without consideration, then we shall be deemed to have received the Floor Price for each such share so issued or deemed to be issued. For all purposes of the foregoing (including, without limitation, determining the adjusted Exercise Price and consideration per share under this adjustment provision), the following shall be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during the Restricted Period, we in any manner grant or sell any options and the lowest price per share (as described in the common warrants)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us at the time of the granting or sale of such option for such price per share;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during the Restricted Period, we in any manner issue or sell any convertible securities and the lowest price per share (as described in the common warrants) for which one share of common stock is issuable upon the conversion, exercise or exchange thereof is less than the Applicable Price, then such share of common stock shall be deemed to be outstanding and to have been issued and sold by us at the time of the issuance or sale of such convertible securities for such price per share;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Restricted Period,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 for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common stock purchasable upon the exercise of the common warrants are subject to adjustment upon the occurrence of specific events, including sales of additional shares of common stock, stock dividends, stock splits, and combinations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or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declare or make any dividend or other distribution of its assets (or rights to acquire its assets) to holders of shares of our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at any time after the issuance of the common warrants, then, in each such case, the holders of the common warrants shall be entitled to participate in such distribution to the same extent that the holders would have participated therein if the holders had held the number of shares of common stock acquirable upon complete exercise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grant, issue or sell any shares of our common stock or securities exercisable for, exchangeable for or convertible into our common stock, or rights to purchase stock, common warrants, securities or other property pro rata to the record holders of any class of shares of our common stock, referred to as Purchase Rights, then each holder of the common warrants will be entitled to acquire, upon the terms applicable to such Purchase Rights, the aggregate Purchase Rights which the holder could have acquired if the holder had held the number of shares of common stock acquirable upon complete exercise of the common warrants immediately before the record date, or, if no such record is taken, the date as of which the record holders of shares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common warrants and generally including any reorganization, recapitalization or reclassification of our common stock, the sale, transfer or other disposition of all or substantially all of our properties or assets, our consolidation or merger with or into another person, the consummation of a business combination with another person or group of persons whereby such other person or group acquires greater than 50% of the voting power of the outstanding common stock and preferred stock, the holders of the common warrants will be entitled to receive upon exercise of the common warrants the kind and amount of securities, cash or other property that the holders would have received had they exercised the common warrants immediately prior to such fundamental transaction. Additionally, as more fully described in the common warrants, in the event of certain fundamental transactions, the holders of the common warrants may be entitled to receive consideration in an amount equal to the Black Scholes value of the common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the common warrants may be offered for sale, sold, transferred or assigned. There is currently no trading market for the common warrants and a trading market is not expected to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as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common warrants or by virtue of a holder’s ownership of shares of our common stock, the holders of the common warrants do not have the rights or privileges of holders of our common stock, including any voting rights, unless and until they exercise their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may be amended with the written consent of the holder of such common warrant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common warrants, and we do not expect a market to develop. In addition, we do not intend to apply for listing of the common warrants on any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pre-funded warrants to purchase up to 2,366,862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and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offered hereby will have an initial exercise price per share equal to $0.001. The pre-funded 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may be exercised, in cash or, if there is no effective registration statement permitting the issuance or resale of the shares issuable upon exercise of the pre-funded warrant, by a cashless exercise at the election of the holder at any time following the date of issuance and from time to time thereafter until the pre-funded warrants are exercised in full. The pre-funded warrants will be exercisable in whole or in part by delivering to the Company a completed instruction form for exercise and complying with the requirements for exercise set forth in the pre-funded warrant. Payment of the exercise price may be made in cash or pursuant to a cashless exercise, in which case the holder would receive upon such exercise the net number of shares of common stock determined according to the formula set forth in the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holder exercises its pre-funded warrants, and if there is no effective registration statement permitting the issuance or resale of the shares issuable upon exercise of the pre-funded warrant,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or scrip representing fractional shares shall be issued upon the exercise of the pre-funded warrants. As to any fraction of a share which the holder would otherwise be entitled to purchase upon such exercise, the number of shares of common stock to be issued shall be rounded up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holder will not have the right to exercise any portion of a pre-funded warrant if the holder (together with its Attribution Parties (as defined in the pre-funded warrant)) would beneficially own in excess of 4.99% (or, at the election of the holder, 9.99%), of the number of shares of our common stock outstanding immediately after giving effect to the exercise, as such percentage ownership is determined in accordance with the terms of the pre-funded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 for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common stock purchasable upon the exercise of the pre-funded warrants are subject to adjustment upon the occurrence of specific events, including sales of additional shares of common stock, stock dividends, stock splits, and combinations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or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declare or make any dividend or other distribution of its assets (or rights to acquire its assets) to holders of shares of our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at any time after the issuance of the pre-funded warrants, then, in each such case, the holders of the common warrants shall be entitled to participate in such distribution to the same extent that the holders would have participated therein if the holders had held the number of shares of common stock acquirable upon complete exercise of the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grant, issue or sell any shares of our common stock or securities exercisable for, exchangeable for or convertible into our common stock, or rights to purchase stock, common warrants, securities or other property pro rata to the record holders of any class of shares of our common stock, referred to as Purchase Rights, then each holder of the pre-funded warrants will be entitled to acquire, upon the terms applicable to such Purchase Rights, the aggregate Purchase Rights which the holder could have acquired if the holder had held the number of shares of common stock acquirable upon complete exercise of the pre-funded warrants immediately before the record date, or, if no such record is taken, the date as of which the record holders of shares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consummation of a business combination with another person or group of persons whereby such other person or group acquires greater than 50% of the voting power of the outstanding common stock and preferred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 pre-funded warrant may be transferred at the option of the holder upon surrender of the pre-funded warrant to us together with the appropriate instruments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trading market available for the pre-funded warrants on any securities exchange or nationally recognized trading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as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pre-funded warrants or by virtue of such holder’s ownership of shares of our common stock, the holders of the pre-funded warrants do not have the rights or privileges of holders of our common stock, including any voting rights, unless and until they exercise their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may be amended with the written consent of the holders of a majority of the then outstanding pre-funded warrants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apply for listing of the pre-funded warrants on any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Placement Agent Warrants that are being offered hereby is not complete and is subject to, and qualified in its entirety by, the provisions of the Placement Agent Warrants, the form of which is filed as an exhibit to the registration statement of which this prospectus forms a part. Prospective investors should carefully review the terms and provisions of the form of Placement Agent Warrant for a complete description of the terms and conditions of the Placement Agent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Placement Agent Warrants to purchase up to 118,343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and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Placement Agent Warrant issued in this offering represents the right to purchase one share of common stock at an assumed initial exercise price of $2.11 per share (equal to 125% of the assumed combined public offering price per share of common stock and accompanying common warrant to purchase one and a half shares of common stock). Each Placement Agent Warrant may be exercised in cash or, if there is no effective registration statement permitting the issuance or resale of the shares issuable upon exercise of the Placement Agent Warrant, by a cashless exercise six months after issuance and from time to time thereafter through and including the third anniversary of their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will be exercisable in whole or in part by delivering to the Company a completed instruction form for exercise and complying with the requirements for exercise set forth in the Placement Agent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Placement Agent Warrant may be exercised, in cash or, if there is no effective registration statement permitting the issuance or resale of the shares issuable upon exercise of the Placement Agent Warrant, by a cashless exercise at the election of the holder at any time following the six month anniversary of the date of issuance and from time to time thereafter until the Placement Agent Warrants are exercised in full. The Placement Agent Warrants will be exercisable in whole or in part by delivering to the Company a completed instruction form for exercise and complying with the requirements for exercise set forth in the Placement Agent Warrant. Payment of the exercise price may be made in cash or pursuant to a cashless exercise, in which case the holder would receive upon such exercise the net number of shares of common stock determined according to the formula set forth in the Placement Agent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holder exercises its Placement Agent Warrants, and if there is no effective registration statement permitting the issuance or resale of the shares issuable upon exercise of the Placement Agent Warrants,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Placement Agent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or scrip representing fractional shares shall be issued upon the exercise of the Placement Agent Warrants. As to any fraction of a share which the holder would otherwise be entitled to purchase upon such exercise, the number of shares of common stock to be issued shall be rounded up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holder will not have the right to exercise any portion of the Placement Agent Warrants if the holder (together with its Attribution Parties (as defined in the Placement Agent Warrant)) would beneficially own in excess of 4.99% (or, at the election of the holder, 9.99%) of the number of shares of our common stock outstanding immediately after giving effect to the exercise, as such percentage ownership is determined in accordance with the terms of the Placement Agent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 for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of common stock purchasable upon the exercise of the Placement Agent Warrants are subject to adjustment upon the occurrence of specific events, including sales of additional shares of common stock, stock dividends, stock splits, and combinations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or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declare or make any dividend (other than cash) or other distribution of its assets (or rights to acquire its assets) to holders of shares of our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and excluding a stock split) at any time after the issuance of the Placement Agent Warrants, then, in each such case, the holders of the Placement Agent Warrants shall be entitled to participate in such distribution to the same extent that the holders would have participated therein if the holders had held the number of shares of common stock acquirable upon complete exercise of the Placement Agent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grant, issue or sell any shares of our common stock or securities exercisable for, exchangeable for or convertible into our common stock, or rights to purchase stock, common warrants, securities or other property pro rata to the record holders of any class of shares of our common stock, referred to as Purchase Rights, then each holder of the Placement Agent Warrants will be entitled to acquire, upon the terms applicable to such Purchase Rights, the aggregate Purchase Rights which the holder could have acquired if the holder had held the number of shares of common stock acquirable upon complete exercise of the Placement Agent Warrants immediately before the record date, or, if no such record is taken, the date as of which the record holders of shares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Placement Agent Warrants and generally including any reorganization, recapitalization or reclassification of our common stock, the sale, transfer or other disposition of all or substantially all of our properties or assets, our consolidation or merger with or into another person, the consummation of a business combination with another person or group of persons whereby such other person or group acquires greater than 50% of the voting power of the outstanding common stock and preferred stock, the holders of the Placement Agent Warrants will be entitled to receive upon exercise of the Placement Agent Warrants the kind and amount of securities, cash or other property that the holders would have received had they exercised the Placement Agent Warrants immediately prior to such fundamental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Placement Agent Warrants nor any shares of common stock issuable upon exercise thereof may be sold, transferred, assigned, pledged or hypothecated, or be the subject of any hedging, short sale, derivative, put or call transaction for a period of six months immediately following the commencement of sales of the offering. Subject to the foregoing, the Placement Agent Warrants are transferable, in whole or in part, upon surrender of the Placement Agent Warrant to the Company and, upon such surrender, the Company will execute and deliver a new warrant to the name of the assignee(s) of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trading market available for the Placement Agent Warrants on any securities exchange or nationally recognized trading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as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Placement Agent Warrants or by virtue of a holder’s ownership of shares of our common stock, the holders of the Placement Agent Warrants do not have the rights or privileges of holders of our common stock, including any voting rights, unless and until they exercise their Placement Agent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may be amended with the written consent of the holder of such Placement Agent Warrant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apply for listing of the Placement Agent Warrants on any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Material U.S. Federal Income Tax Considerations for U.S. AND 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U.S. federal income tax consequences of the acquisition, ownership and disposition of our common stock, common warrants and pre-funded warrants, but does not purport to be a complete analysis of all the potential tax considerations relating thereto. Throughout this summary, all references to our common stock are meant to include our pre-funded warrants. This summary is based upon the provisions of the Internal Revenue Code of 1986, as amended (the “Code”), Treasury Regulations promulgated thereunder, administrative rulings and judicial decisions, all as of the date hereof. These authorities may be changed or subject to differing interpretations, possibly with retroactive effect, with the resulting U.S. federal income tax consequences being different from those set forth below. We have not sought and will not seek any ruling from the Internal Revenue Service, or the IRS, with respect to the statements made and the conclusions reached in the following summary, and there can be no assurance that the IRS or a court will agree with such statements and conclusions.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also does not address the tax considerations arising under the laws of any U.S. state or local or any non-U.S. jurisdiction, estate or gift tax, the 3.8% Medicare tax on net investment income or any alternative minimum tax consequences. In addition, this discussion does not address tax considerations applicable to a holder’s particular circumstances or to a holder that may be subject to special tax rules, including, without limitation:</w:t>
      </w:r>
    </w:p>
    <w:p>
      <w:pPr>
        <w:pStyle w:val="TextBody"/>
        <w:bidi w:val="0"/>
        <w:spacing w:before="0" w:after="0"/>
        <w:ind w:left="979" w:right="0" w:hanging="49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insurance companies or other financial institutions;</w:t>
            </w:r>
          </w:p>
        </w:tc>
      </w:tr>
    </w:tbl>
    <w:p>
      <w:pPr>
        <w:pStyle w:val="TextBody"/>
        <w:bidi w:val="0"/>
        <w:spacing w:before="0" w:after="0"/>
        <w:ind w:left="979" w:right="0" w:hanging="490"/>
        <w:jc w:val="left"/>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 government organizations;</w:t>
            </w:r>
          </w:p>
        </w:tc>
      </w:tr>
    </w:tbl>
    <w:p>
      <w:pPr>
        <w:pStyle w:val="TextBody"/>
        <w:bidi w:val="0"/>
        <w:spacing w:before="0" w:after="0"/>
        <w:ind w:left="979" w:right="0" w:hanging="49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or dealers in securities, commodities or currencies;</w:t>
            </w:r>
          </w:p>
        </w:tc>
      </w:tr>
    </w:tbl>
    <w:p>
      <w:pPr>
        <w:pStyle w:val="TextBody"/>
        <w:bidi w:val="0"/>
        <w:spacing w:before="0" w:after="0"/>
        <w:ind w:left="979" w:right="0" w:hanging="490"/>
        <w:jc w:val="left"/>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in securities that elect to use a mark-to-market method of accounting for their securities holdings;</w:t>
            </w:r>
          </w:p>
        </w:tc>
      </w:tr>
    </w:tbl>
    <w:p>
      <w:pPr>
        <w:pStyle w:val="TextBody"/>
        <w:bidi w:val="0"/>
        <w:spacing w:before="0" w:after="0"/>
        <w:ind w:left="979" w:right="0" w:hanging="490"/>
        <w:jc w:val="left"/>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17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are deemed to own, more than 5.0% of our capital stock;</w:t>
            </w:r>
          </w:p>
        </w:tc>
      </w:tr>
    </w:tbl>
    <w:p>
      <w:pPr>
        <w:pStyle w:val="TextBody"/>
        <w:bidi w:val="0"/>
        <w:spacing w:before="0" w:after="0"/>
        <w:ind w:left="979" w:right="0" w:hanging="490"/>
        <w:jc w:val="left"/>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expatriates, citizens or former long-term residents of the United States;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our common stock as a position in a hedging transaction, “straddle,” “conversion transaction,” synthetic security, other integrated investment, or other risk reduction transaction;</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do not hold our common stock as a capital asset within the meaning of Section 1221 of the Code (generally, for investment purposes);</w:t>
            </w:r>
          </w:p>
        </w:tc>
      </w:tr>
    </w:tbl>
    <w:p>
      <w:pPr>
        <w:pStyle w:val="TextBody"/>
        <w:bidi w:val="0"/>
        <w:spacing w:before="0" w:after="0"/>
        <w:ind w:left="979" w:right="0" w:hanging="49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common stock under the constructive sale provisions of the Code;</w:t>
            </w:r>
          </w:p>
        </w:tc>
      </w:tr>
    </w:tbl>
    <w:p>
      <w:pPr>
        <w:pStyle w:val="TextBody"/>
        <w:bidi w:val="0"/>
        <w:spacing w:before="0" w:after="0"/>
        <w:ind w:left="979" w:right="0" w:hanging="490"/>
        <w:jc w:val="left"/>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17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or arrangements treated as partnerships for U.S. federal income tax purposes, or investors in any such entities;</w:t>
            </w:r>
          </w:p>
        </w:tc>
      </w:tr>
    </w:tbl>
    <w:p>
      <w:pPr>
        <w:pStyle w:val="TextBody"/>
        <w:bidi w:val="0"/>
        <w:spacing w:before="0" w:after="0"/>
        <w:ind w:left="979" w:right="0" w:hanging="490"/>
        <w:jc w:val="left"/>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170"/>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for whom our stock constitutes “qualified small business stock” within the meaning of Section 1202 of the Code;</w:t>
            </w:r>
          </w:p>
        </w:tc>
      </w:tr>
    </w:tbl>
    <w:p>
      <w:pPr>
        <w:pStyle w:val="TextBody"/>
        <w:bidi w:val="0"/>
        <w:spacing w:before="0" w:after="0"/>
        <w:ind w:left="979" w:right="0" w:hanging="49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integral parts or controlled entities of foreign sovereigns;</w:t>
            </w:r>
          </w:p>
        </w:tc>
      </w:tr>
    </w:tbl>
    <w:p>
      <w:pPr>
        <w:pStyle w:val="TextBody"/>
        <w:bidi w:val="0"/>
        <w:spacing w:before="0" w:after="0"/>
        <w:ind w:left="979" w:right="0" w:hanging="49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 and corporations that accumulate earnings to avoid U.S. federal income tax;</w:t>
            </w:r>
          </w:p>
        </w:tc>
      </w:tr>
    </w:tbl>
    <w:p>
      <w:pPr>
        <w:pStyle w:val="TextBody"/>
        <w:bidi w:val="0"/>
        <w:spacing w:before="0" w:after="0"/>
        <w:ind w:left="979" w:right="0" w:hanging="48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 or foreign corporations with respect to which there are one or more United States shareholders within the meaning of Treasury Regulation Section 1.367(b)-3(b)(1)(ii);</w:t>
            </w:r>
          </w:p>
        </w:tc>
      </w:tr>
    </w:tbl>
    <w:p>
      <w:pPr>
        <w:pStyle w:val="TextBody"/>
        <w:bidi w:val="0"/>
        <w:spacing w:before="0" w:after="0"/>
        <w:ind w:left="979" w:right="0" w:hanging="489"/>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method taxpayers that file applicable financial statements as described in Section 451(b) of the Code;</w:t>
            </w:r>
          </w:p>
        </w:tc>
      </w:tr>
    </w:tbl>
    <w:p>
      <w:pPr>
        <w:pStyle w:val="TextBody"/>
        <w:bidi w:val="0"/>
        <w:spacing w:before="0" w:after="0"/>
        <w:ind w:left="979" w:right="0" w:hanging="489"/>
        <w:jc w:val="left"/>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170"/>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trusts;</w:t>
            </w:r>
          </w:p>
        </w:tc>
      </w:tr>
    </w:tbl>
    <w:p>
      <w:pPr>
        <w:pStyle w:val="TextBody"/>
        <w:bidi w:val="0"/>
        <w:spacing w:before="0" w:after="0"/>
        <w:ind w:left="979" w:right="0" w:hanging="489"/>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the alternative minimum tax;</w:t>
            </w:r>
          </w:p>
        </w:tc>
      </w:tr>
    </w:tbl>
    <w:p>
      <w:pPr>
        <w:pStyle w:val="TextBody"/>
        <w:bidi w:val="0"/>
        <w:spacing w:before="0" w:after="0"/>
        <w:ind w:left="979" w:right="0" w:hanging="489"/>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persons whose “functional currency” is not the U.S. dollar;</w:t>
            </w:r>
          </w:p>
        </w:tc>
      </w:tr>
    </w:tbl>
    <w:p>
      <w:pPr>
        <w:pStyle w:val="TextBody"/>
        <w:bidi w:val="0"/>
        <w:spacing w:before="0" w:after="0"/>
        <w:ind w:left="979" w:right="0" w:hanging="489"/>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Placement Agent Warrants; or</w:t>
            </w:r>
          </w:p>
        </w:tc>
      </w:tr>
    </w:tbl>
    <w:p>
      <w:pPr>
        <w:pStyle w:val="TextBody"/>
        <w:bidi w:val="0"/>
        <w:spacing w:before="0" w:after="0"/>
        <w:ind w:left="979" w:right="0" w:hanging="49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acquire our common stock or common warrants as compensation for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partnership, including any entity or arrangement classified as a partnership for U.S. federal income tax purposes, holds our common stock or common warrants, the tax treatment of a partner generally will depend on the status of the partner, the activities of the partnership, and certain determinations made at the partner level. Accordingly, partnerships that hold our common stock or common warrants, and partners in such partnerships, should consult their tax advisors regarding the U.S. federal income tax consequences to them of the purchase, ownership, and disposition of our common stock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tax advisor with respect to the application of the U.S. federal income tax laws to your particular situation, as well as any tax consequences of the purchase, ownership and disposition of our common stock or common warrants arising under the U.S. federal estate or gift tax rules or under the laws of any U.S. state or local or any non-U.S. or other taxing jurisdiction or under any applicable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of a U.S.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Holder” is any beneficial owner of our common stock or common warrants that is a “U.S. person,” and is not a partnership, or an entity treated as a partnership or disregarded from its owner, each for U.S. federal income tax purposes. A U.S. person is any person that, for U.S. federal income tax purposes, is or is treated as any of the following:</w:t>
      </w:r>
    </w:p>
    <w:p>
      <w:pPr>
        <w:pStyle w:val="TextBody"/>
        <w:bidi w:val="0"/>
        <w:spacing w:before="0" w:after="0"/>
        <w:ind w:left="979" w:right="0" w:hanging="490"/>
        <w:jc w:val="left"/>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p>
      <w:pPr>
        <w:pStyle w:val="TextBody"/>
        <w:bidi w:val="0"/>
        <w:spacing w:before="0" w:after="0"/>
        <w:ind w:left="979" w:right="0" w:hanging="490"/>
        <w:jc w:val="left"/>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created or organized under the laws of the United States, any state thereof, or the District of Columbia;</w:t>
            </w:r>
          </w:p>
        </w:tc>
      </w:tr>
    </w:tbl>
    <w:p>
      <w:pPr>
        <w:pStyle w:val="TextBody"/>
        <w:bidi w:val="0"/>
        <w:spacing w:before="0" w:after="0"/>
        <w:ind w:left="979" w:right="0" w:hanging="49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 regardless of its source; or</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(1) is subject to the primary supervision of a U.S. court and the control of one or more U.S. persons (within the meaning of Section 7701(a)(30) of the Code), or (2) has a valid election in effect to be treated as a U.S. person for U.S. federal income tax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“Non-U.S. Holder” is any beneficial owner of our common stock or common warrants that is not a U.S. Holder or a partnership, or other entity treated as a partnership or disregarded from its owner, each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it is not entirely free from doubt, we believe a pre-funded warrant should be treated as common stock for U.S. federal income tax purposes and a holder of pre-funded warrants should generally be taxed in the same manner as a holder of our common stock, as described below. Accordingly, no gain or loss should be recognized upon the exercise of a pre-funded warrant and, upon exercise, the holding period of a pre-funded warrant should carry over to the common stock received. Similarly, the tax basis of the pre-funded warrant should carry over to the common stock received upon exercise, increased by the exercise price of $0.001 per share. However, our characterization of a pre-funded warrant is not binding on the IRS, and the IRS may treat our pre-funded warrants as warrants to acquire our common stock. If so, the amount and character of your gain with respect to an investment in our pre-funded warrants could change. Accordingly, each holder should consult his, her or its own tax advisor regarding the risks associated with the acquisition of pre-funded warrants pursuant to this offering (including potential alternative characterizations). The balance of this discussion generally assumes that our characterization described above is respected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Consequences to U.S.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on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w:t>
      </w:r>
      <w:r>
        <w:rPr>
          <w:rFonts w:ascii="Times New Roman;Times;Serif" w:hAnsi="Times New Roman;Times;Serif"/>
          <w:b w:val="false"/>
          <w:i/>
          <w:caps w:val="false"/>
          <w:smallCaps w:val="false"/>
          <w:sz w:val="20"/>
        </w:rPr>
        <w:t>Dividend Policy</w:t>
      </w:r>
      <w:r>
        <w:rPr>
          <w:rFonts w:ascii="Times New Roman;Times;Serif" w:hAnsi="Times New Roman;Times;Serif"/>
          <w:b w:val="false"/>
          <w:i w:val="false"/>
          <w:caps w:val="false"/>
          <w:smallCaps w:val="false"/>
          <w:sz w:val="20"/>
        </w:rPr>
        <w:t>,” we do not currently expect to make distributions on our common stock. In the event that we do make distributions of cash or other property, distributions paid on common stock, other than certain pro rata distributions of common stock, will be treated as a dividend to the extent paid out of our current or accumulated earnings and profits, if any, and will be includible in income by the U.S. Holder and taxable as ordinary income when received. If a distribution exceeds our current and accumulated earnings and profits, the excess will be first treated as a tax-free return of the U.S. Holder’s investment, up to the U.S. Holder’s tax basis in the common stock. Any remaining excess will be treated as a capital gain. Subject to applicable limitations, dividends paid to certain non-corporate U.S. Holders may be eligible for taxation as “qualified dividend income” and therefore may be taxable at rates applicable to long-term capital gains. U.S. Holders should consult their tax advisers regarding the availability of the reduced tax rate on dividends in their particular circumstances. Dividends received by a corporate U.S. Holder will be eligible for the dividends-received deduction if the U.S. Holder meets certain holding period and other applicable requirements. As our earnings and profits may be unknown at the time of distribution, U.S. Holders should expect to treat a distribution as a dividend even if that distribution would otherwise be treated as a tax-free return of capital or as capital gain under the rules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gain or loss realized on the sale or other disposition of common stock will be capital gain or loss, and will be long-term capital gain or loss if the U.S. Holder held the common stock for more than one year. The amount of the gain or loss will equal the difference between the U.S. Holder’s tax basis in the common stock disposed of and the amount realized on the disposition. Long-term capital gains recognized by non-corporate U.S. Holders will be subject to reduced tax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redemption, such redemption generally will be treated as a sale or exchange of the common stock (rather than as a corporate distribution) if the redemption (i) is “substantially disproportionate” with respect to the U.S. Holder, (ii) results in a “complete termination” of the U.S. Holder’s interest or (iii) is “not essentially equivalent to a dividend” with respect to the U.S. Holder. The redemption of our common stock will not be “essentially equivalent to a dividend” if a U.S. Holder’s redemption results in a “meaningful reduction” of the U.S. Holder’s proportionate interest in us. Whether the redemption will result in a meaningful reduction in a U.S. Holder’s proportionate interest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gain or loss recognized on the sale, taxable exchange or other taxable disposition of our common stock, including on a redemption as described above,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for such common stock, less any prior distributions treated as a return of capital. The deductibility of capital losses is subject to limitations. Long-term capital gains recognized by non-corporate U.S. Holders are generally eligible for reduced rates of tax. If the U.S. Holder’s holding period for the common stock so disposed of is one year or less, any gain on a sale or other taxable disposition of the shares would be subject to short-term capital gain treatment and would be taxed at ordinary income tax rates. The deductibility of capital losses is subject to limitations. Any gain or loss recognized by a U.S. Holder on the sale or exchange of our common stock will generally be treated as U.S. source gain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 Exercise or Expiration of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recognize gain or loss on the sale or other taxable disposition of common warrants in an amount equal to the difference, if any, between the amount of cash plus the fair market value of any property received and such U.S. Holder’s tax basis in common warrants sold or otherwise disposed of, in each case as determined in U.S. dollars. Gain or loss recognized on such sale or other taxable disposition generally will be a capital gain or loss, which will be long-term capital gain or loss if the common warrant is held for more than one year. The gain or loss will generally be U.S.-source gain or loss for foreign tax credit purposes. Deductions for capital losses are subject to complex limitations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should not recognize gain or loss on the exercise of common warrants and related receipt of common stock. A U.S. Holder’s initial tax basis in the common stock received on the exercise of a common warrant should be equal to the sum of (i) such U.S. Holder’s initial tax basis in such common warrant plus (ii) the exercise price paid by such U.S. Holder on the exercise of such common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lapse or expiration of a warrant, a U.S. Holder will recognize a loss in an amount equal to such U.S. Holder’s tax basis in the warrant. Any such loss generally will be a capital loss and will be long-term capital loss if the warrants are held for more than one year. Deductions for capital losses are subject to complex limitations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Adjustments to the Common Warrants and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305 of the Code, an adjustment to the number of shares of common stock that will be issued on the exercise of the common warrants or pre-funded warrants, or an adjustment to the exercise price of the common warrants or pre-funded warrants, may be treated as a constructive distribution to a U.S. Holder of the common warrants or pre-funded warrants if, and to the extent that, such adjustment has the effect of increasing such U.S. Holder’s proportionate interest in our earnings and profits or our assets, depending on the circumstances of such adjustment (for example, if such adjustment is to compensate for a distribution of cash or property to the shareholders). Adjustments to the exercise price of the common warrants or pre-funded warrants made pursuant to a bona fide reasonable adjustment formula that has the effect of preventing dilution of the interest of the holder of the common warrants or pre-funded warrants should generally not be considered to result in a constructive distribution. Any such constructive distribution would be taxable whether or not there is an actual distribution of cash or other property (see more detailed discussion of the rules applicable to distributions we make under “</w:t>
      </w:r>
      <w:r>
        <w:rPr>
          <w:rFonts w:ascii="Times New Roman;Times;Serif" w:hAnsi="Times New Roman;Times;Serif"/>
          <w:b w:val="false"/>
          <w:i/>
          <w:caps w:val="false"/>
          <w:smallCaps w:val="false"/>
          <w:sz w:val="20"/>
        </w:rPr>
        <w:t>Distributions on Common Stock</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Consequences to 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the section entitled “</w:t>
      </w:r>
      <w:r>
        <w:rPr>
          <w:rFonts w:ascii="Times New Roman;Times;Serif" w:hAnsi="Times New Roman;Times;Serif"/>
          <w:b w:val="false"/>
          <w:i/>
          <w:caps w:val="false"/>
          <w:smallCaps w:val="false"/>
          <w:sz w:val="20"/>
        </w:rPr>
        <w:t>Dividend Policy</w:t>
      </w:r>
      <w:r>
        <w:rPr>
          <w:rFonts w:ascii="Times New Roman;Times;Serif" w:hAnsi="Times New Roman;Times;Serif"/>
          <w:b w:val="false"/>
          <w:i w:val="false"/>
          <w:caps w:val="false"/>
          <w:smallCaps w:val="false"/>
          <w:sz w:val="20"/>
        </w:rPr>
        <w:t>,” we do not anticipate paying any dividends on our common stock in the foreseeable future. If we make distributions on our common stock, those payments will constitute dividends for U.S. federal income tax purposes to the extent we have current or accumulated earnings and profits, as determined under U.S. federal income tax principles. To the extent those distributions exceed both our current and our accumulated earnings and profits, they will constitute a return of capital and will first reduce a Non-U.S. Holder’s basis in our common stock, as applicable, but not below zero. Any excess will be treated as capital gain and will be treated as described below under the “—</w:t>
      </w:r>
      <w:r>
        <w:rPr>
          <w:rFonts w:ascii="Times New Roman;Times;Serif" w:hAnsi="Times New Roman;Times;Serif"/>
          <w:b w:val="false"/>
          <w:i/>
          <w:caps w:val="false"/>
          <w:smallCaps w:val="false"/>
          <w:sz w:val="20"/>
        </w:rPr>
        <w:t>Gain on Sale or Other Disposition of Common Stock</w:t>
      </w:r>
      <w:r>
        <w:rPr>
          <w:rFonts w:ascii="Times New Roman;Times;Serif" w:hAnsi="Times New Roman;Times;Serif"/>
          <w:b w:val="false"/>
          <w:i w:val="false"/>
          <w:caps w:val="false"/>
          <w:smallCaps w:val="false"/>
          <w:sz w:val="20"/>
        </w:rPr>
        <w:t>” section. Any such distributions would be subject to the discussions below regarding back-up withholding and the Foreign Account Tax Compliance Act, or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on effectively connected income, any dividend paid to a Non-U.S. Holder generally will be subject to U.S. withholding tax either at a rate of 30% of the gross amount of the dividend or such lower rate as may be specified by an applicable income tax treaty between the U.S. and such holder’s country of residence. To receive a reduced treaty rate, a Non-U.S. Holder must provide us or our agent with an IRS Form W-8BEN or W-8BEN-E (generally including a U.S. taxpayer identification number), or another appropriate version of IRS Form W-8 (or a successor form), which must be updated periodically, and which, in each case, must certify qualification for the reduced treaty rate. Non-U.S. Holders should consult their tax advisors regarding their entitlement to benefits under any applicable income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 Non-U.S. Holder that are effectively connected with the Non-U.S. Holder’s conduct of a trade or business within the United States and that are not eligible for relief from U.S. (net basis) income tax under an applicable income tax treaty, generally are exempt from the (gross basis) withholding tax described above. To obtain this exemption from withholding tax, the Non-U.S. Holder must provide the applicable withholding agent with an IRS Form W-8ECI or successor form or other applicable IRS Form W-8 certifying that the dividends are effectively connected with the Non-U.S. Holder’s conduct of a trade or business within the United States. Such effectively connected dividends, if not eligible for relief under a tax treaty, would not be subject to a withholding tax, but would be taxed at the same rates applicable to U.S. persons, net of certain deductions and credits and if, in addition, the Non-U.S. Holder is a corporation, may also be subject to a branch profits tax at a rate of 30% (or such lower rate as may be specified by an applicable income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eligible for a reduced rate of withholding tax pursuant to a tax treaty, you may be able to obtain a refund of any excess amounts withheld if you timely file an appropriate claim for refund with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Sale or Other Disposition of Common Stock and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regarding backup withholding and FATCA, a Non-U.S. Holder generally will not be required to pay U.S. federal income tax on any gain realized upon the sale or other disposition of our common stock or common warrants unless:</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Non-U.S. Holder’s conduct of a trade or business within the United States and not eligible for relief under an applicable income tax treaty, in which case the Non-U.S. Holder will be required to pay tax on the net gain derived from the sale under regular U.S. federal income tax rates applicable to U.S. persons, and for a Non-U.S. Holder that is a corporation, such Non-U.S. Holder may be subject to the branch profits tax at a 30% rate (or such lower rate as may be specified by an applicable income tax treaty) on such effectively connected gain, as adjusted for certain items;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an individual who is present in the United States for a period or periods aggregating 183 days or more during the calendar year in which the sale or disposition occurs and certain other conditions are met, in which case the Non-U.S. Holder will be required to pay a flat 30% tax on the gain derived from the sale, which tax may be offset by U.S. source capital losses (even though the Non-U.S. Holder is not considered a resident of the United States) (subject to applicable income tax or other treaties); or</w:t>
            </w:r>
          </w:p>
        </w:tc>
      </w:tr>
    </w:tbl>
    <w:p>
      <w:pPr>
        <w:pStyle w:val="TextBody"/>
        <w:bidi w:val="0"/>
        <w:spacing w:before="0" w:after="0"/>
        <w:ind w:left="979" w:right="0" w:hanging="490"/>
        <w:jc w:val="left"/>
        <w:rPr>
          <w:caps w:val="false"/>
          <w:smallCaps w:val="false"/>
        </w:rPr>
      </w:pPr>
      <w:r>
        <w:rPr>
          <w:caps w:val="false"/>
          <w:smallCaps w:val="false"/>
        </w:rPr>
        <w:t> </w:t>
      </w:r>
    </w:p>
    <w:p>
      <w:pPr>
        <w:pStyle w:val="TextBody"/>
        <w:bidi w:val="0"/>
        <w:spacing w:before="0" w:after="0"/>
        <w:ind w:left="979" w:right="0" w:hanging="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“U.S. real property holding corporation” for U.S. federal income tax purposes, or a USRPHC, at any time within the shorter of the five-year period preceding the disposition or the Non-U.S. Holder’s holding period for our common stock. We believe we are not currently and do not anticipate becoming a USRPHC. However, because the determination of whether we are a USRPHC depends on the fair market value of our United States real property interests relative to the fair market value of our other business assets, there can be no assurance that we will not become a USRPHC in the future. Even if we become a USRPHC, however, gain arising from the sale or other taxable disposition by a Non-U.S. Holder of our common stock will not be subject to United States federal income tax if (a) shares of our common stock are “regularly traded,” as defined by applicable Treasury Regulations, on an established securities market, such as Nasdaq, and (b) the Non-U.S. Holder owns or owned, actually and constructively, 5% or less of the shares of our common stock throughout the five-year period ending on the date of the sale or exchange. If the foregoing exception does not apply, such Non-U.S. Holder’s proceeds received on the disposition of shares will generally be subject to withholding at a rate of 15% and such Non-U.S. Holder will generally be taxed on any gain in the same manner as gain that is effectively connected with the conduct of a U.S. trade or business, except that the branch profits tax generally will not apply. Non-U.S. Holders of pre-funded warrants should consult their tax advisors regarding the application of these rules with respect to the pre-funded warrants (which are not expected to be “regularly traded” on an established securities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will generally be taxed on constructive distribution as described above under “</w:t>
      </w:r>
      <w:r>
        <w:rPr>
          <w:rFonts w:ascii="Times New Roman;Times;Serif" w:hAnsi="Times New Roman;Times;Serif"/>
          <w:b w:val="false"/>
          <w:i/>
          <w:caps w:val="false"/>
          <w:smallCaps w:val="false"/>
          <w:sz w:val="20"/>
        </w:rPr>
        <w:t>Certain Adjustments to the Common Warrants and Pre-funded Warrants</w:t>
      </w:r>
      <w:r>
        <w:rPr>
          <w:rFonts w:ascii="Times New Roman;Times;Serif" w:hAnsi="Times New Roman;Times;Serif"/>
          <w:b w:val="false"/>
          <w:i w:val="false"/>
          <w:caps w:val="false"/>
          <w:smallCaps w:val="false"/>
          <w:sz w:val="20"/>
        </w:rPr>
        <w:t>.” An adjustment which has the effect of preventing dilution generally should not be a taxable event. Nevertheless, a Non-U.S. Holder of common warrants or pre-funded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A Non-U.S. Holder would be subject to U.S. federal income tax withholding as described above under “</w:t>
      </w:r>
      <w:r>
        <w:rPr>
          <w:rFonts w:ascii="Times New Roman;Times;Serif" w:hAnsi="Times New Roman;Times;Serif"/>
          <w:b w:val="false"/>
          <w:i/>
          <w:caps w:val="false"/>
          <w:smallCaps w:val="false"/>
          <w:sz w:val="20"/>
        </w:rPr>
        <w:t>Distributions</w:t>
      </w:r>
      <w:r>
        <w:rPr>
          <w:rFonts w:ascii="Times New Roman;Times;Serif" w:hAnsi="Times New Roman;Times;Serif"/>
          <w:b w:val="false"/>
          <w:i w:val="false"/>
          <w:caps w:val="false"/>
          <w:smallCaps w:val="false"/>
          <w:sz w:val="20"/>
        </w:rPr>
        <w:t>” under that section in the same manner as if such Non-U.S. Holder received a cash distribution from us on common stock equal to the fair market value of such increased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may be filed with the IRS in connection with distributions on common stock, and the proceeds of a sale or other disposition of common stock or common warrants. A non-exempt U.S. Holder may be subject to U.S. backup withholding on these payments if it fails to provide its taxpayer identification number to the withholding agent and comply with certification procedures or otherwise establish an exemption from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may be subject to U.S. information reporting and backup withholding on these payments unless the Non-U.S. Holder complies with certification procedures to establish that it is not a U.S. person (within the meaning of the Code). The certification requirements generally will be satisfied if the Non-U.S. Holder provides the applicable withholding agent with a statement on the applicable IRS Form (or a suitable substitute or successor form), together with all appropriate attachments, signed under penalties of perjury, stating, among other things, that such Non-U.S. Holder is not a U.S. person. Applicable Treasury Regulations provide alternative methods for satisfying this requirement. In addition, the amount of distributions on common stock paid to a Non-U.S. Holder, and the amount of any U.S. federal tax withheld therefrom, must be reported annually to the IRS and the holder. This information may be made available by the IRS under the provisions of an applicable tax treaty or agreement to the tax authorities of the country in which the Non-U.S. Holder resides.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proceeds of the sale or other disposition of common stock or common warrants to or through a non-U.S. office of a U.S. broker or of a non-U.S. broker with certain specified U.S. connections generally will be subject to information reporting requirements, but not backup withholding, unless the Non-U.S. Holder certifies under penalties of perjury that it is not a U.S. person or an exemption otherwise applies. Payments of the proceeds of a sale or other disposition of common stock or common warrants to or through a U.S. office of a broker generally will be subject to information reporting and backup withholding, unless the Non-U.S. Holder certifies under penalties of perjury that it is not a U.S. person or otherwise establishes an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The amount of any backup withholding from a payment generally will be allowed as a credit against the holder’s U.S. federal income tax liability and may entitle the holder to a refund,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Code generally imposes a U.S. federal withholding tax of 30% on dividends and, subject to the discussion below regarding proposed regulations issued by the U.S. Treasury Department, the gross proceeds of a disposition of securities paid to a “foreign financial institution” (as specifically defined for this purpose), unless such institution enters into an agreement with the U.S. government to, among other things,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or otherwise qualifies for an exemption from these rules. A U.S. federal withholding tax of 30% also applies to dividends and, subject to the discussion below regarding proposed regulations issued by the U.S. Treasury Department, will apply to the gross proceeds of a disposition of securities paid to a non-financial foreign entity (as defined in the Code), unless such entity either provides the withholding agent with a certification that it does not have any substantial direct or indirect. “United States owners” (as defined in the Code) or provides information regarding each substantial United States owners of the entity, or otherwise qualifies for an exemption from these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a Non-U.S. Holder might be eligible for refunds or credits of such taxes. An intergovernmental agreement between the United States and an applicable foreign country may modify the requirements described in the paragraph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Treasury Department released proposed regulations which, if finalized in their present form, would eliminate the federal withholding tax of 30% applicable to the gross proceeds of a sale or other disposition of our common stock or common warrants. In its preamble to such proposed regulations, the U.S. Treasury Department stated that taxpayers may generally rely on the proposed regulations until final regulations are issued. Prospective investors should consult their own tax advisors regarding the possible impact of these rules on their investment in our common stock or common warrants, and the possible impact of these rules and the proposed regulations on the entities through which they hold our common stock or common warrants, including, without limitation, the process and deadlines for meeting the applicable requirements to prevent the imposition of this 30%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PROSPECTIVE INVESTOR SHOULD CONSULT ITS TAX ADVISOR REGARDING THE PARTICULAR U.S. FEDERAL, STATE AND LOCAL AND NON-U.S. TAX CONSEQUENCES OF PURCHASING, HOLDING AND DISPOSING OF OUR SECURITIES, INCLUDING THE CONSEQUENCES OF ANY PROPOSED CHANGE IN APPLICABLE LAWS. PROSPECTIVE INVESTORS SHOULD ALSO CONSULT WITH THEIR TAX ADVISORS WITH RESPECT TO SUCH CHANGES IN U.S. TAX LAW AS WELL AS POTENTIAL CONFORMING CHANGES IN STATE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placement agency agreement, dated as of [          ], 2026 (the “Placement Agency Agreement”), we have engaged Joseph Gunnar &amp; Co., LLC (the “Placement Agent”) to act as our exclusive placement agent to solicit offers to purchase the securities offered by this prospectus on a reasonable best efforts basis. The Placement Agent is not purchasing or selling any securities, nor are they required to arrange for the purchase and sale of any specific number or dollar amount of securities, other than to use their “reasonable best efforts” to arrange for the sale of the securities by us. Therefore, we may not sell the entire amount of securities being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this offering are subject to market conditions and negotiations between us, the Placement Agent and prospective investors. The Placement Agent will have no authority to bind us by virtue of the Placement Agency Agreement. This is a best-efforts offering and there is no minimum amount of proceeds that is a condition to closing of this offering. Investors purchasing securities offered hereby will have the option to execute a securities purchase agreement with us. In addition to rights and remedies available to all purchasers in this offering under federal securities and state law, the purchasers which enter into a securities purchase agreement will also be able to bring claims of breach of contract against us. The ability to pursue a claim for breach of contract is material to larger purchasers in this offering as a means to enforce the following covenants uniquely available to them under the securities purchase agreement: (i) a covenant to not enter into variable rate financings for a period of up to the earlier of six months following the date of the last closing of a Tranche of this offering or the date as of which purchasers no longer the securities acquired under such securities purchase agreement, subject to certain exceptions; and (ii) a covenant to not enter into any equity financings until the earlier of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last closing of a Tranche of this offering and the date upon which all pre-funded warrants and common warrants have been exercised, subject to certain exceptions. The Placement Agent may engage one or more sub-agents or selected dealers in connection with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representations, warranties and covenants in the securities purchase agreements shall include, among others:</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issuer representations and warranties of the Company on matters such as organization, qualification, authorization, no conflict, no governmental filings required, current in SEC filings, no litigation (except as set forth herein), labor or other compliance issues, environmental, regulatory certificates, authorizations and permits, intellectual property and title matters and compliance with various laws such as the Foreign Corrupt Practices Act;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regarding matters such as registration of warrant shares, no integration with other offerings, filing of a Form 8-K to disclose entering into these securities purchase agreements, no shareholder rights plans, no material nonpublic information, use of proceeds, indemnification of purchasers, reservation and listing of common stock issued in this offering, no subsequent equity sales for ninety (90) days, subject to certain exceptions, and no Variable Rate Transactions (as defined in the securities purchase agreement) until the earlier of ninety (90) days from the date of the securities purchase agreement and the date when purchasers no longer hold the securities acquired in connection with this offering, subject to certain exceptions.</w:t>
            </w:r>
          </w:p>
        </w:tc>
      </w:tr>
    </w:tbl>
    <w:p>
      <w:pPr>
        <w:pStyle w:val="TextBody"/>
        <w:bidi w:val="0"/>
        <w:spacing w:before="0" w:after="0"/>
        <w:ind w:left="979" w:right="0" w:hanging="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Agency Agreement provides that the Placement Agent’s obligations are subject to conditions contained in the Placement Agency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offered hereby in the Initial Tranche is expected to occur on or about [          ], 2026, subject to satisfaction of certain customary closing conditions. Delivery of the securities offered hereby in the Second Tranche would, subject to the satisfaction of certain conditions and customary closing conditions, be made on the Second Tranche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public offering price per share of Common Stock and common warrant, and per pre-funded warrant and common warrant, placement agent fees payable by us, and proceeds before expenses to us:</w:t>
      </w:r>
    </w:p>
    <w:p>
      <w:pPr>
        <w:pStyle w:val="TextBody"/>
        <w:bidi w:val="0"/>
        <w:spacing w:before="0" w:after="0"/>
        <w:ind w:left="0" w:right="0" w:hanging="0"/>
        <w:jc w:val="left"/>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2825"/>
        <w:gridCol w:w="60"/>
        <w:gridCol w:w="331"/>
        <w:gridCol w:w="1278"/>
        <w:gridCol w:w="60"/>
        <w:gridCol w:w="60"/>
        <w:gridCol w:w="232"/>
        <w:gridCol w:w="1497"/>
        <w:gridCol w:w="60"/>
        <w:gridCol w:w="60"/>
        <w:gridCol w:w="140"/>
        <w:gridCol w:w="420"/>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Per Share and </w:t>
              <w:br/>
              <w:t xml:space="preserve">Accompanying </w:t>
              <w:br/>
              <w:t xml:space="preserve">Common </w:t>
              <w:br/>
              <w:t>Warrant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Per Pre-Funded </w:t>
              <w:br/>
              <w:t xml:space="preserve">Warrant and </w:t>
              <w:br/>
              <w:t xml:space="preserve">Accompanying </w:t>
              <w:br/>
              <w:t xml:space="preserve">Common </w:t>
              <w:br/>
              <w:t>Warrant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center"/>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offering price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Placement Agent fees</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9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before expenses, to us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offering proceeds to us presented in this table does not give effect to the exercise, if any, of the common warrants or the pre-funded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a total cash fee equal to up to seven and a half percent (7.5%) of the aggregate gross proceeds raised in the offering. We have also agreed to reimburse the Placement Agent, subject to the terms of the Placement Agent Agreement, for certain reasonable accountable out-of-pocket expenses incurred relating to the offering, up to a maximum of $60,000, comprised of (i) up to $30,000 relating to the fees and expenses of the Placement Agent’s counsel if the offering closes, (ii) $15,000 related to the fees, expenses and disbursements relating to the background checks of the Company’s officers, directors and entities, (iii) up to $5,000 related to the Placement Agent’s actual accountable, reasonable and documented “road show” expenses for the offering, and (iv) $5,000 related to reasonable fees and disbursements of “blue sky” counsel upon commencement of “blue sky” work by such counsel and an additional $5,000 at the closing of the offering, unless otherwise agreed. We estimate the total offering expenses of this offering that will be payable by us, excluding the Placement Agent fees and expenses, will be approximately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agreed to issue warrants (the “Placement Agent Warrants”) to the Placement Agent or its designees to purchase up to 118,343 shares of our common stock (representing five percent (5%) of the shares of common stock and/or pre-funded warrants sold to investors introduced by the Placement Agent in this offering). The Placement Agent Warrants will be exercisable at any time, and from time to time, in whole or in part, commencing from the date six (6) months from the date of issuance and expiring three (3) years from their issue date, at an assumed exercise price of $2.11 (representing 125% of the assumed public offering price per share of common stock and accompanying common warrant to purchase one and a half shares of common stock). In addition, the Placement Agent Warrants provide for certain demand and piggyback registration rights, including one demand registration right in accordance with Rule 5110(g)(8)(b) and unlimited piggyback registration rights for a period of five (5) years from the commencement of sales of the offering. The demand registration rights and piggyback registration rights provided will terminate five years from the commencement of the sales of securities to the public in compliance with FINRA Rule 5110(g)(8)(c) and (d), respectively. Furthermore, the Placement Agent Warrants must not be sold, transferred, assigned, pledged or hypothecated, or be the subject of any hedging, short sale, derivative, put, or call transaction that would result in the effective economic disposition of the securities for a period of 180 days beginning on the date of Closing in accordance with FINRA Rule 5110(e)(1).  We will bear all fees and expenses attendant to registering the securities issuable on exercise of the Placement Agent Warrants other than underwriting commissions incurred and payable by the holders. The Placement Agent Warrants and the common stock issuable upon exercise thereof are being registered on the registration statement of which this prospectus is a part. The form of the Placement Agent Warrant has been included as an exhibit to this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investors that were contacted by the Placement Agent in connection with this offering (the “Tail Parties”) provide any capital to us in a public or private offering or other financing or capital-raising transaction of any kind (each, a “Tail Financing”) within six (6) months following the closing of this offering, provided that any Tail Parties who participate in the offering shall be twelve (12) months following the closing of this offering, we shall pay the Placement Agent the cash and warrant compensation provided above on the gross proceeds raised in such Tail Financing from such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elect to extend the engagement of the Placement Agent or otherwise elects to pursue an alternative financing other than this offering, upon each and every public and private equity-linked or convertible debt offering, including our common stock or similar forms of our capital stock, as well as securities that may be convertible into or exercisable or exchangeable for our capital stock (including convertible and non-convertible debt), by the Company, any successor to the Company, or any of our subsidiaries (each a “Subsequent Financing”), the Placement Agent will have the irrevocable right, but not the obligation, to participate in such Subsequent Financing as the investment banker, co-manager, co-placement agent, sales agent, advisor, or otherwise, whichever is applicable, for at least twenty-five percent (25%) of the total economics of the Subsequent Financing and on the same terms, conditions and price provided for in the Subsequent Financing (“Participation Right”). The Company agreed to provide the Placement Agent with reasonable written notice of its intention to effect a Subsequent Financing and the Placement Agent has three (3) days from the receipt of such notice to respond to the Company with its election regarding its Participation Right with respect to a Subsequent Financing. If the Placement Agent fails to exercise its Participation Right within such period, such failure will be deemed a waiver of the Participation Right with respect to the Subsequent Financing that is the subject of such notice. The Participation Right expires on 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per share of common stock and/or pre-funded warrant and accompanying common warrant that we are offering and the exercise prices and other terms of the pre-funded warrants and common warrants were negotiated between us and the investors, in consultation with the Placement Agent based on the trading of our common stock prior to this offering, among other things. Other factors considered in determining the public offering prices of the securities we are offering and the exercise prices and other terms of the pre-funded warrants and common warrants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each of our executive officers and directors and our 10% or greater stockholders have agreed with the Placement Agent to be subject to a lock-up period of ninety (90) days following the closing of this offering. This means that, during the applicable lock-up period, we and such persons may not offer for sale, contract to sell, or sell any shares of our common stock or any securities convertible into, or exercisable or exchangeable for, shares of our common stock, subject to certain customary exceptions. The Placement Agent may, in its sole discretion and without notice, waive the terms of any of these lock-up agreements. In addition, we have agreed to not issue any securities that are subject to a price reset based on the trading prices of our common stock or upon a specified or contingent event in the future or enter into any agreement to issue securities at a future determined price for a period of ninety (90) days following the closing date of this offering, subject to certain exceptions. The Placement Agent may waive this prohibition in its sole discretion and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 and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stock is Continental Stock Transfer &amp; Trust. We expect to act as the warrant agent for the warrants issued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Nasdaq under the symbol “VIVS”. On March 26, 2026, the closing price per share of our common stock was $1.69.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 against certain liabilities, including certain liabilities arising under the Securities Act and liabilities arising from breaches of representations and warranties contained in our engagement letter with the Placement Agent. We have also agreed to contribute to payments that the Placement Agent may be required to make for these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indemnify the purchasers of securities in this offering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affiliates may in the future engage in investment banking transactions and other commercial dealings in the ordinary course of business with us or our affiliates. The Placement Agent may in the future receive customary fees and commissions for these transactions. However, except as disclosed in this prospectus, we have no present arrangements with the placement agent for any further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a website maintained by the Placement Agent and the Placement Agent may distribute prospectuses electronically. Other than the prospectus in electronic format, the information on these websites is not part of this prospectus or the registration statement of which this prospectus forms a part, has not been approved and/or endorsed by us or the Placement Agent and should not be relied upon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being offered by this prospectus will be passed upon for us by Paul Hastings LLP, Palo Alto, California. The Placement Agent is being represented by Pryor Cashman LLP, New York, New York, in connection with this offering.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as of and for the two years ended March 31, 2025, incorporated by reference in this prospectus have been so included in reliance on the report of Rosenberg Rich Baker Berman, P.A., an independent registered public accounting firm, given upon the authority of such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incorporated by reference into this prospectus:</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March 31, 2025 filed with the SEC on June 5, 2025, as amended by Amendment No. 1 on </w:t>
            </w:r>
            <w:hyperlink r:id="rId4">
              <w:r>
                <w:rPr>
                  <w:rStyle w:val="InternetLink"/>
                  <w:rFonts w:ascii="Times New Roman;Times;Serif" w:hAnsi="Times New Roman;Times;Serif"/>
                  <w:b w:val="false"/>
                  <w:i w:val="false"/>
                  <w:caps w:val="false"/>
                  <w:smallCaps w:val="false"/>
                  <w:sz w:val="20"/>
                </w:rPr>
                <w:t>Form 10-K/A</w:t>
              </w:r>
            </w:hyperlink>
            <w:r>
              <w:rPr>
                <w:rFonts w:ascii="Times New Roman;Times;Serif" w:hAnsi="Times New Roman;Times;Serif"/>
                <w:b w:val="false"/>
                <w:i w:val="false"/>
                <w:caps w:val="false"/>
                <w:smallCaps w:val="false"/>
                <w:sz w:val="20"/>
              </w:rPr>
              <w:t>, filed with the SEC on July 29, 2025;</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Quarterly Report on Form 10-Q for the quarterly periods ended June 30, 2025, September 30, 2025 and December 31, 2025, filed with the SEC on </w:t>
            </w:r>
            <w:hyperlink r:id="rId5">
              <w:r>
                <w:rPr>
                  <w:rStyle w:val="InternetLink"/>
                  <w:rFonts w:ascii="Times New Roman;Times;Serif" w:hAnsi="Times New Roman;Times;Serif"/>
                  <w:b w:val="false"/>
                  <w:i w:val="false"/>
                  <w:caps w:val="false"/>
                  <w:smallCaps w:val="false"/>
                  <w:sz w:val="20"/>
                </w:rPr>
                <w:t>August 12,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November 6, 2025</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rPr>
                <w:t>February 11, 2026</w:t>
              </w:r>
            </w:hyperlink>
            <w:r>
              <w:rPr>
                <w:rFonts w:ascii="Times New Roman;Times;Serif" w:hAnsi="Times New Roman;Times;Serif"/>
                <w:b w:val="false"/>
                <w:i w:val="false"/>
                <w:caps w:val="false"/>
                <w:smallCaps w:val="false"/>
                <w:sz w:val="20"/>
              </w:rPr>
              <w:t>;</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Reports on Form 8-K filed with the SEC on </w:t>
            </w:r>
            <w:hyperlink r:id="rId8">
              <w:r>
                <w:rPr>
                  <w:rStyle w:val="InternetLink"/>
                  <w:rFonts w:ascii="Times New Roman;Times;Serif" w:hAnsi="Times New Roman;Times;Serif"/>
                  <w:b w:val="false"/>
                  <w:i w:val="false"/>
                  <w:caps w:val="false"/>
                  <w:smallCaps w:val="false"/>
                  <w:sz w:val="20"/>
                </w:rPr>
                <w:t>April 2, 2025</w:t>
              </w:r>
            </w:hyperlink>
            <w:r>
              <w:rPr>
                <w:rFonts w:ascii="Times New Roman;Times;Serif" w:hAnsi="Times New Roman;Times;Serif"/>
                <w:b w:val="false"/>
                <w:i w:val="false"/>
                <w:caps w:val="false"/>
                <w:smallCaps w:val="false"/>
                <w:sz w:val="20"/>
              </w:rPr>
              <w:t xml:space="preserve"> (other than Items 2.02 and 7.01 and Exhibit 99.1 thereto), </w:t>
            </w:r>
            <w:hyperlink r:id="rId9">
              <w:r>
                <w:rPr>
                  <w:rStyle w:val="InternetLink"/>
                  <w:rFonts w:ascii="Times New Roman;Times;Serif" w:hAnsi="Times New Roman;Times;Serif"/>
                  <w:b w:val="false"/>
                  <w:i w:val="false"/>
                  <w:caps w:val="false"/>
                  <w:smallCaps w:val="false"/>
                  <w:sz w:val="20"/>
                </w:rPr>
                <w:t>April 24, 2025</w:t>
              </w:r>
            </w:hyperlink>
            <w:r>
              <w:rPr>
                <w:rFonts w:ascii="Times New Roman;Times;Serif" w:hAnsi="Times New Roman;Times;Serif"/>
                <w:b w:val="false"/>
                <w:i w:val="false"/>
                <w:caps w:val="false"/>
                <w:smallCaps w:val="false"/>
                <w:sz w:val="20"/>
              </w:rPr>
              <w:t xml:space="preserve"> (other than Item 7.01 and Exhibit 99.1 thereto), </w:t>
            </w:r>
            <w:hyperlink r:id="rId10">
              <w:r>
                <w:rPr>
                  <w:rStyle w:val="InternetLink"/>
                  <w:rFonts w:ascii="Times New Roman;Times;Serif" w:hAnsi="Times New Roman;Times;Serif"/>
                  <w:b w:val="false"/>
                  <w:i w:val="false"/>
                  <w:caps w:val="false"/>
                  <w:smallCaps w:val="false"/>
                  <w:sz w:val="20"/>
                </w:rPr>
                <w:t>May 6,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August 14, 2025</w:t>
              </w:r>
            </w:hyperlink>
            <w:r>
              <w:rPr>
                <w:rFonts w:ascii="Times New Roman;Times;Serif" w:hAnsi="Times New Roman;Times;Serif"/>
                <w:b w:val="false"/>
                <w:i w:val="false"/>
                <w:caps w:val="false"/>
                <w:smallCaps w:val="false"/>
                <w:sz w:val="20"/>
              </w:rPr>
              <w:t xml:space="preserve"> (other than Item 7.01 and Exhibit 99.1 thereto) and </w:t>
            </w:r>
            <w:hyperlink r:id="rId12">
              <w:r>
                <w:rPr>
                  <w:rStyle w:val="InternetLink"/>
                  <w:rFonts w:ascii="Times New Roman;Times;Serif" w:hAnsi="Times New Roman;Times;Serif"/>
                  <w:b w:val="false"/>
                  <w:i w:val="false"/>
                  <w:caps w:val="false"/>
                  <w:smallCaps w:val="false"/>
                  <w:sz w:val="20"/>
                </w:rPr>
                <w:t>December 18, 2025</w:t>
              </w:r>
            </w:hyperlink>
            <w:r>
              <w:rPr>
                <w:rFonts w:ascii="Times New Roman;Times;Serif" w:hAnsi="Times New Roman;Times;Serif"/>
                <w:b w:val="false"/>
                <w:i w:val="false"/>
                <w:caps w:val="false"/>
                <w:smallCaps w:val="false"/>
                <w:sz w:val="20"/>
              </w:rPr>
              <w:t>;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description of our common stock set forth in our Registration Statement on </w:t>
            </w:r>
            <w:hyperlink r:id="rId13">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001-35996), filed with the SEC on July 26, 2016, including any amendments or reports filed for the purpose of updating such description, including the description of our common stock included as </w:t>
            </w:r>
            <w:hyperlink r:id="rId14">
              <w:r>
                <w:rPr>
                  <w:rStyle w:val="InternetLink"/>
                  <w:rFonts w:ascii="Times New Roman;Times;Serif" w:hAnsi="Times New Roman;Times;Serif"/>
                  <w:b w:val="false"/>
                  <w:i w:val="false"/>
                  <w:caps w:val="false"/>
                  <w:smallCaps w:val="false"/>
                  <w:sz w:val="20"/>
                </w:rPr>
                <w:t>Exhibit 4.2</w:t>
              </w:r>
            </w:hyperlink>
            <w:r>
              <w:rPr>
                <w:rFonts w:ascii="Times New Roman;Times;Serif" w:hAnsi="Times New Roman;Times;Serif"/>
                <w:b w:val="false"/>
                <w:i w:val="false"/>
                <w:caps w:val="false"/>
                <w:smallCaps w:val="false"/>
                <w:sz w:val="20"/>
              </w:rPr>
              <w:t xml:space="preserve"> to our Annual Report on </w:t>
            </w:r>
            <w:hyperlink r:id="rId15">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March 31, 2025, filed with the SEC on June 5, 2025, as amended by Amendment No. 1 on </w:t>
            </w:r>
            <w:hyperlink r:id="rId16">
              <w:r>
                <w:rPr>
                  <w:rStyle w:val="InternetLink"/>
                  <w:rFonts w:ascii="Times New Roman;Times;Serif" w:hAnsi="Times New Roman;Times;Serif"/>
                  <w:b w:val="false"/>
                  <w:i w:val="false"/>
                  <w:caps w:val="false"/>
                  <w:smallCaps w:val="false"/>
                  <w:sz w:val="20"/>
                </w:rPr>
                <w:t>Form 10-K/A</w:t>
              </w:r>
            </w:hyperlink>
            <w:r>
              <w:rPr>
                <w:rFonts w:ascii="Times New Roman;Times;Serif" w:hAnsi="Times New Roman;Times;Serif"/>
                <w:b w:val="false"/>
                <w:i w:val="false"/>
                <w:caps w:val="false"/>
                <w:smallCaps w:val="false"/>
                <w:sz w:val="20"/>
              </w:rPr>
              <w:t>, filed with the SEC on July 29,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such future filings and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obtain any of the documents incorporated by reference in this prospectus from the SEC through the SEC’s website at the address provided above. Documents incorporated by reference are also available from us, without charge. You may obtain documents incorporated by reference in this prospectus by requesting them in writing or by telephone at the following address or phone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VivoSim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11555 Sorrento Valley Road, Suite 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(858) 224-1000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reporting company and file annual, quarterly and current reports, proxy statements and other information with the SEC. We have filed with the SEC a registration statement on Form S-1 under the Securities Act with respect to the securities being offered under this prospectus. This prospectus, which constitutes a part of the registration statement, does not contain all of the information set forth in the registration statement and the exhibits to the registration statement. For further information with respect to us and the securities being offered under this prospectus, we refer you to the registration statement of which this prospectus is a part and the exhibits filed as a part of the registration statement. Statements contained in this prospectus as to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an Internet site that contains reports, proxy and information statements, and other information regarding issuers that file electronically with the SEC, including VivoSim Labs, Inc. The SEC’s Internet site can be found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You may also request a copy of these filings, at no cost, by writing us at 11555 Sorrento Valley Road, Suite 100, San Diego, CA 92121 or telephoning us at (858) 224-1400.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reporting requirements of the Exchange Act and, in accordance with this law, file periodic reports, proxy statements and other information with the SEC. These periodic reports, proxy statements and other information are available at the website of the SEC referred to above. We also maintain a website at www.vivosim.ai. You may access these materials free of charge as soon as reasonably practicable after they are electronically filed with, or furnished to, the SEC. Information contained on or connected to our website is not a part of, and is not incorporated into, this prospectus and the inclusion of our website address in this prospectus is an inactive textual reference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Disclosure of Commission Position on Indemnification for Securities 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persons controlling us pursuant to the provisions described in Item 14 of the registration statement of which this prospectus is a part or otherwise, we have been advised that in the opinion of the SEC such indemnification is against public policy as expressed in the Securities Act and is therefore unenforceable. In the event that a claim for indemnification against such liabilities (other than our payment of expenses incurred or paid by our directors, officers, or controlling persons in the successful defense of any action, suit, or proceeding) is asserted by our directors, officers, or controlling persons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981450" cy="1190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3981450" cy="1190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2,366,86 shares of Common Stock (or Pre-Funded Warrants to Purchase up to 2,366,862 Shares of Common Stock in lieu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Purchase up to 3,550,293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Agent Warrants to Purchase up to 118,343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2,366,862 Shares of Common Stock Underlying the Pre-Funded Warrants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8,875,733 Shares of Common Stock Underlying the Common 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118,343 Shares of Common Stock Underlying the Placement Agent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Gunnar &amp; Co.,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2026</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Part II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13.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an estimate of the fees and expenses relating to the issuance and distribution of the securities being registered hereby, other than Placement Agent fees, all of which shall be borne by VivoSim Labs, Inc. (the “Registrant”). All of such fees and expenses, except for the SEC registration fee, are estimates:</w:t>
      </w:r>
    </w:p>
    <w:p>
      <w:pPr>
        <w:pStyle w:val="TextBody"/>
        <w:bidi w:val="0"/>
        <w:spacing w:before="0" w:after="0"/>
        <w:ind w:left="0" w:right="0" w:hanging="0"/>
        <w:jc w:val="left"/>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3155"/>
        <w:gridCol w:w="60"/>
        <w:gridCol w:w="140"/>
        <w:gridCol w:w="800"/>
        <w:gridCol w:w="75"/>
      </w:tblGrid>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2,659</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agent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Miscellaneous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80,000</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283,759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14.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General Corporation Law of the State of Delaware (the “DGCL”) permits a corporation to eliminate or limit the personal liability of directors of a corporation to the corporation or its stockholders for monetary damages for a breach of fiduciary duty as a director, except where the director breached his duty of loyalty to the corporation or its stockholders, failed to act in good faith, engaged in intentional misconduct or knowingly violated a law, authorized the payment of a dividend or approved a stock repurchase or redemption in violation of the DGCL or derived an improper personal benefit. The Registrant’s certificate of incorporation, as amended,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judgments, fines and amounts paid in settlement in connection with such action, suit or proceeding or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bylaws provide that the Registrant will indemnify each person who was or is a party or threatened to be made a party to any threatened, pending or completed action, suit or proceeding (other than an action by or in the right of the Registrant) by reason of the fact that he or she is or was a director or officer of the Registrant, or is or was serving, at the Registrant’s request as a director, officer, employee or agent of another corporation, partnership, joint venture, trust or other enterprise (all such persons being referred to as an “Indemnitee”), against expenses (including, attorneys’ fees), judgments, fines, and amounts paid in settlement actually and reasonably incurred in connection with such action, suit or proceeding, if such Indemnitee acted in good faith and in a manner he or she reasonably believed to be in, or not opposed to, the Registrant’s best interests, and, with respect to any criminal action or proceeding, he or she had no reasonable cause to believe his or her conduct was unlawful. The Registrant’s bylaws, as amended, also provide that the Registrant will indemnify any Indemnitee who was or is a party to an action or suit by or in the right of the Registrant to procure a judgment in the Registrant’s favor by reason of the fact that the Indemnitee is or was, a director or officer, or is or was serving, or has agreed to serve, at the Registrant’s request as a director, officer, employee or agent of another corporation, partnership, joint venture, trust or other enterprise, against expenses (including, attorneys’ fees) actually and reasonably incurred by such Indemnitee in connection with the defense or settlement of such action or suit,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and only to the extent, that the Court of Chancery or the court in which such action or suit was brought determines, despite the adjudication of liability but in view of all the circumstances, he or she is entitled to indemnification of such expenses which the Court of Chancery or such other court shall deem proper. Notwithstanding the foregoing, to the extent that any Indemnitee has been successful, on the merits or otherwise, he or she will be indemnified against expenses (including attorneys’ fees) actually and reasonably incurred in connection therewith. Expenses must be advanced to an Indemnitee under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each of its directors and executive officers that may be broader than the specific indemnification provisions contained in the DGCL.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bylaws provide that the Registrant may purchase and maintain insurance on behalf of any person who is or was a director, officer, employee or agent of the Registrant or is or was serving at the request of the Registrant as a director, officer, employee or agent of another corporation, partnership, joint venture, trust or other enterprise against any liability asserted against him or her in any such capacity, or arising out of his or her status as such, whether or not the Registrant would have the power to indemnify such person against such liability under the DGCL. The Registrant has obtained insurance under which, subject to the limitations of the insurance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the Registrant’s indemnification obligations or otherwise as a matter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the undertakings set out in response to Item 17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15.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1, 2023, the Registrant has issued the following securities that were not registered under the Securities Act:</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the Registrant issued 5,482 unregistered shares of common stock to a marketing firm as consideration for services pursuant to a marketing agreement.</w:t>
            </w:r>
          </w:p>
        </w:tc>
      </w:tr>
    </w:tbl>
    <w:p>
      <w:pPr>
        <w:pStyle w:val="TextBody"/>
        <w:bidi w:val="0"/>
        <w:spacing w:before="0" w:after="0"/>
        <w:ind w:left="1008"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shares of common stock was not registered under the Securities Act in reliance upon the exemption from registration provided by Section 4(a)(2) of the Securities Act promulgated by the SEC, and in reliance on similar exemptions under applicable state laws. The marketing firm represented that it was an accredited investor and was acquiring the shares of common stock for investment purposes only and not with a view to, or for sale in connection with, any distribution thereof and that it could bear the risks of the investments and could hold the securities for an indefinite period of time.</w:t>
      </w:r>
    </w:p>
    <w:p>
      <w:pPr>
        <w:pStyle w:val="TextBody"/>
        <w:bidi w:val="0"/>
        <w:spacing w:before="0" w:after="0"/>
        <w:ind w:left="1008"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16.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4"/>
        <w:gridCol w:w="60"/>
        <w:gridCol w:w="9361"/>
      </w:tblGrid>
      <w:tr>
        <w:trPr/>
        <w:tc>
          <w:tcPr>
            <w:tcW w:w="78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6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8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1" w:type="dxa"/>
            <w:tcBorders/>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w:anchor="ea028377701ex1-1.htm">
              <w:r>
                <w:rPr>
                  <w:rStyle w:val="InternetLink"/>
                </w:rPr>
                <w:t>Form of Placement Agency Agreement.</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sz w:val="20"/>
                </w:rPr>
                <w:t>Asset Purchase Agreement, dated February 23, 2025, by and between the Company, Eli Lilly and Company and for certain sections therein, Organovo, Inc. (incorporated by reference to Exhibit 2.1 to the Current Report on Form 8-K filed by the Company with the SEC on February 25, 2025).</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Certificate of Incorporation of Organovo Holdings, Inc. (Delaware) (incorporated by reference from Exhibit 3.1 to the Company’s Current Report on Form 8-K, as filed with the SEC on February 3, 2012).</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sz w:val="20"/>
                </w:rPr>
                <w:t>Certificate of Amendment of Certificate of Incorporation of Organovo Holdings, Inc. (incorporated by reference from Exhibit 3.1 to the Company’s Current Report on Form 8-K, as filed with the SEC on July 27, 2018).</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Certificate of Second Amendment of Certificate of Incorporation of Organovo Holdings, Inc. (incorporated by reference from Exhibit 3.1 to the Company’s Current Report on Form 8-K as filed with the SEC on August 17, 2020).</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sz w:val="20"/>
                </w:rPr>
                <w:t>Certificate of Third Amendment of Certificate of Incorporation (incorporated by reference from Exhibit 3.1 to the Company’s Current Report on Form 8-K as filed with the SEC on March 21, 2025).</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23">
              <w:r>
                <w:rPr>
                  <w:rStyle w:val="InternetLink"/>
                  <w:rFonts w:ascii="Times New Roman;Times;Serif" w:hAnsi="Times New Roman;Times;Serif"/>
                  <w:sz w:val="20"/>
                </w:rPr>
                <w:t>Certificate of Fourth Amendment of Certificate of Incorporation (incorporated by reference from Exhibit 3.1 to the Company’s Current Report on Form 8-K as filed with the SEC on April 24, 2025).</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sz w:val="20"/>
                </w:rPr>
                <w:t>Amended and Restated Bylaws (incorporated by reference from Exhibit 3.2 to the Company's Current Report on Form 8-K as filed with the SEC on April 24, 2025).</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25">
              <w:r>
                <w:rPr>
                  <w:rStyle w:val="InternetLink"/>
                  <w:rFonts w:ascii="Times New Roman;Times;Serif" w:hAnsi="Times New Roman;Times;Serif"/>
                  <w:sz w:val="20"/>
                </w:rPr>
                <w:t>Description of Securities (incorporated by reference to Exhibit 4.2 to the Company's Annual Report on Form 10-K, as filed with the SEC on June 5, 2025).</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sz w:val="20"/>
                </w:rPr>
                <w:t>Form of Common Warrant (incorporated by reference from Exhibit 4.1 to the Company’s Current Report on Form 8-K, as filed with the SEC on May 13, 2024).</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w:anchor="ea028377701ex4-3.htm">
              <w:r>
                <w:rPr>
                  <w:rStyle w:val="InternetLink"/>
                  <w:rFonts w:ascii="Times New Roman;Times;Serif" w:hAnsi="Times New Roman;Times;Serif"/>
                  <w:sz w:val="20"/>
                </w:rPr>
                <w:t>Form of Pre-Funded Warrant.</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w:anchor="ea028377701ex4-4.htm">
              <w:r>
                <w:rPr>
                  <w:rStyle w:val="InternetLink"/>
                  <w:rFonts w:ascii="Times New Roman;Times;Serif" w:hAnsi="Times New Roman;Times;Serif"/>
                  <w:sz w:val="20"/>
                </w:rPr>
                <w:t>Form of Common Warrant.</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w:anchor="ea028377701ex4-5.htm">
              <w:r>
                <w:rPr>
                  <w:rStyle w:val="InternetLink"/>
                  <w:rFonts w:ascii="Times New Roman;Times;Serif" w:hAnsi="Times New Roman;Times;Serif"/>
                  <w:sz w:val="20"/>
                </w:rPr>
                <w:t>Form of Placement Agent Warrant.</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w:anchor="ea028377701ex5-1.htm">
              <w:r>
                <w:rPr>
                  <w:rStyle w:val="InternetLink"/>
                  <w:rFonts w:ascii="Times New Roman;Times;Serif" w:hAnsi="Times New Roman;Times;Serif"/>
                  <w:sz w:val="20"/>
                </w:rPr>
                <w:t>Opinion of Paul Hastings LLP.</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27">
              <w:r>
                <w:rPr>
                  <w:rStyle w:val="InternetLink"/>
                  <w:rFonts w:ascii="Times New Roman;Times;Serif" w:hAnsi="Times New Roman;Times;Serif"/>
                  <w:sz w:val="20"/>
                </w:rPr>
                <w:t>VivoSim Labs, Inc. Amended and Restated 2012 Equity Incentive Plan (incorporated by reference to Exhibit 10.1 to the Company's Annual Report as filed with the SEC on June 5, 2025).</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28">
              <w:r>
                <w:rPr>
                  <w:rStyle w:val="InternetLink"/>
                  <w:rFonts w:ascii="Times New Roman;Times;Serif" w:hAnsi="Times New Roman;Times;Serif"/>
                  <w:sz w:val="20"/>
                </w:rPr>
                <w:t>Form of Stock Option Award Agreement under the 2012 Equity Incentive Plan (incorporated by reference from Exhibit 10.16 to the Company’s Current Report on Form 8-K, as filed with the SEC on February 13, 2012).</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29">
              <w:r>
                <w:rPr>
                  <w:rStyle w:val="InternetLink"/>
                  <w:rFonts w:ascii="Times New Roman;Times;Serif" w:hAnsi="Times New Roman;Times;Serif"/>
                  <w:sz w:val="20"/>
                </w:rPr>
                <w:t>Form of Non-Employee Director Stock Option Award Agreement under the 2012 Equity Incentive Plan (incorporated by reference to Exhibit 10.35 to the Company’s Annual Report on Form 10-K, as filed with the SEC on June 9, 2015).</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30">
              <w:r>
                <w:rPr>
                  <w:rStyle w:val="InternetLink"/>
                  <w:rFonts w:ascii="Times New Roman;Times;Serif" w:hAnsi="Times New Roman;Times;Serif"/>
                  <w:sz w:val="20"/>
                </w:rPr>
                <w:t>Form of Executive Stock Option Award Agreement under the 2012 Equity Incentive Plan (incorporated by reference to Exhibit 10.36 to the Company’s Annual Report on Form 10-K, as filed with the SEC on June 9, 2015).</w:t>
              </w:r>
            </w:hyperlink>
          </w:p>
        </w:tc>
      </w:tr>
      <w:tr>
        <w:trPr/>
        <w:tc>
          <w:tcPr>
            <w:tcW w:w="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1" w:type="dxa"/>
            <w:tcBorders/>
            <w:shd w:fill="FFFFFF" w:val="clear"/>
            <w:tcMar>
              <w:bottom w:w="0" w:type="dxa"/>
            </w:tcMar>
            <w:vAlign w:val="center"/>
          </w:tcPr>
          <w:p>
            <w:pPr>
              <w:pStyle w:val="TableContents"/>
              <w:bidi w:val="0"/>
              <w:spacing w:before="0" w:after="283"/>
              <w:jc w:val="left"/>
              <w:rPr/>
            </w:pPr>
            <w:r>
              <w:rPr/>
              <w:t> </w:t>
            </w:r>
          </w:p>
        </w:tc>
      </w:tr>
      <w:tr>
        <w:trPr/>
        <w:tc>
          <w:tcPr>
            <w:tcW w:w="7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1" w:type="dxa"/>
            <w:tcBorders/>
            <w:shd w:fill="CCEEFF" w:val="clear"/>
            <w:tcMar>
              <w:bottom w:w="0" w:type="dxa"/>
            </w:tcMar>
            <w:vAlign w:val="center"/>
          </w:tcPr>
          <w:p>
            <w:pPr>
              <w:pStyle w:val="TableContents"/>
              <w:bidi w:val="0"/>
              <w:spacing w:before="0" w:after="283"/>
              <w:jc w:val="left"/>
              <w:rPr/>
            </w:pPr>
            <w:hyperlink r:id="rId31">
              <w:r>
                <w:rPr>
                  <w:rStyle w:val="InternetLink"/>
                  <w:rFonts w:ascii="Times New Roman;Times;Serif" w:hAnsi="Times New Roman;Times;Serif"/>
                  <w:sz w:val="20"/>
                </w:rPr>
                <w:t>Form of Indemnification Agreement (incorporated by reference from Exhibit 10.17 to the Company’s Current Report on Form 8-K, as filed with the SEC on February 13, 2012).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0"/>
        <w:gridCol w:w="60"/>
        <w:gridCol w:w="9405"/>
      </w:tblGrid>
      <w:tr>
        <w:trPr/>
        <w:tc>
          <w:tcPr>
            <w:tcW w:w="7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4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32">
              <w:r>
                <w:rPr>
                  <w:rStyle w:val="InternetLink"/>
                  <w:rFonts w:ascii="Times New Roman;Times;Serif" w:hAnsi="Times New Roman;Times;Serif"/>
                  <w:sz w:val="20"/>
                </w:rPr>
                <w:t>License Agreement dated as of March 24, 2009, by and between Organovo, Inc. and the Curators of the University of Missouri (incorporated by reference to Exhibit 10.6 to the Company's Annual Report as filed with the SEC on June 5, 2025).</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33">
              <w:r>
                <w:rPr>
                  <w:rStyle w:val="InternetLink"/>
                  <w:rFonts w:ascii="Times New Roman;Times;Serif" w:hAnsi="Times New Roman;Times;Serif"/>
                  <w:sz w:val="20"/>
                </w:rPr>
                <w:t>License Agreement dated as of March 12, 2010 by and between the Company and the Curators of the University of Missouri (incorporated by reference to Exhibit 10.7 to the Company's Annual Report as filed with the SEC on June 5, 2025).</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34">
              <w:r>
                <w:rPr>
                  <w:rStyle w:val="InternetLink"/>
                  <w:rFonts w:ascii="Times New Roman;Times;Serif" w:hAnsi="Times New Roman;Times;Serif"/>
                  <w:sz w:val="20"/>
                </w:rPr>
                <w:t>Severance and Change in Control Plan (incorporated by reference to Exhibit 10.2 to the Company’s Quarterly Report on Form 10-Q, as filed with the SEC on November 9, 2015).</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35">
              <w:r>
                <w:rPr>
                  <w:rStyle w:val="InternetLink"/>
                  <w:rFonts w:ascii="Times New Roman;Times;Serif" w:hAnsi="Times New Roman;Times;Serif"/>
                  <w:sz w:val="20"/>
                </w:rPr>
                <w:t>Amendment No.1 to Severance and Change in Control Plan, dated May 19, 2020 (incorporated by reference to Exhibit 10.1 to the Company’s Current Report on Form 8-K, as filed with the SEC on May 20, 2020).</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36">
              <w:r>
                <w:rPr>
                  <w:rStyle w:val="InternetLink"/>
                  <w:rFonts w:ascii="Times New Roman;Times;Serif" w:hAnsi="Times New Roman;Times;Serif"/>
                  <w:sz w:val="20"/>
                </w:rPr>
                <w:t>Form of Severance and Change in Control Plan Participation Agreement (incorporated by reference to Exhibit 10.3 to the Company’s Quarterly Report on Form 10-Q, as filed with the SEC on November 9, 2015).</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37">
              <w:r>
                <w:rPr>
                  <w:rStyle w:val="InternetLink"/>
                  <w:rFonts w:ascii="Times New Roman;Times;Serif" w:hAnsi="Times New Roman;Times;Serif"/>
                  <w:sz w:val="20"/>
                </w:rPr>
                <w:t>Form of Restricted Stock Unit Grant Notice and Restricted Stock Unit Agreement (Retention Form) under the 2012 Equity Incentive Plan (incorporated by reference from Exhibit 10.1 to the Company’s Quarterly Report on Form 10-Q, as filed with the SEC on August 4, 2016).</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38">
              <w:r>
                <w:rPr>
                  <w:rStyle w:val="InternetLink"/>
                  <w:rFonts w:ascii="Times New Roman;Times;Serif" w:hAnsi="Times New Roman;Times;Serif"/>
                  <w:sz w:val="20"/>
                </w:rPr>
                <w:t>Form of Employee Restricted Stock Unit Grant Notice and Restricted Stock Unit Agreement under the 2012 Equity Incentive Plan (incorporated by reference from Exhibit 10.3 to the Company’s Quarterly Report on Form 10-Q, as filed with the SEC on August 4, 2016).</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39">
              <w:r>
                <w:rPr>
                  <w:rStyle w:val="InternetLink"/>
                  <w:rFonts w:ascii="Times New Roman;Times;Serif" w:hAnsi="Times New Roman;Times;Serif"/>
                  <w:sz w:val="20"/>
                </w:rPr>
                <w:t>Form of Non-Employee Director Restricted Stock Unit Grant Notice and Restricted Stock Unit Agreement under the 2012 Equity Incentive Plan (incorporated by reference from Exhibit 10.4 to the Company’s Quarterly Report on Form 10-Q, as filed with the SEC on August 4, 2016).</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40">
              <w:r>
                <w:rPr>
                  <w:rStyle w:val="InternetLink"/>
                  <w:rFonts w:ascii="Times New Roman;Times;Serif" w:hAnsi="Times New Roman;Times;Serif"/>
                  <w:sz w:val="20"/>
                </w:rPr>
                <w:t>Consulting Agreement, dated September 15, 2020, by and between Organovo and Multi Dimensional Bio Insight LLC. (incorporated by reference from Exhibit 10.1 to the Company’s Quarterly Report on Form 10-Q, as filed with the SEC on November 5, 2020).</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41">
              <w:r>
                <w:rPr>
                  <w:rStyle w:val="InternetLink"/>
                  <w:rFonts w:ascii="Times New Roman;Times;Serif" w:hAnsi="Times New Roman;Times;Serif"/>
                  <w:sz w:val="20"/>
                </w:rPr>
                <w:t>Consulting Agreement, dated August 25, 2020, by and between Organovo and Danforth Advisors (incorporated by reference from Exhibit 10.2 to the Company’s Quarterly Report on Form 10-Q, as filed with the SEC on November 5, 2020).</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42">
              <w:r>
                <w:rPr>
                  <w:rStyle w:val="InternetLink"/>
                  <w:rFonts w:ascii="Times New Roman;Times;Serif" w:hAnsi="Times New Roman;Times;Serif"/>
                  <w:sz w:val="20"/>
                </w:rPr>
                <w:t>Amendment No. 5 dated October 4, 2021 to Consulting Agreement dated August 25, 2021 by and between Company and Danforth Advisors LLC (incorporated by reference from Exhibit 10.3 to the Company’s Current Report on Form 8-K, as filed with the SEC on October 6, 2021).</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43">
              <w:r>
                <w:rPr>
                  <w:rStyle w:val="InternetLink"/>
                  <w:rFonts w:ascii="Times New Roman;Times;Serif" w:hAnsi="Times New Roman;Times;Serif"/>
                  <w:sz w:val="20"/>
                </w:rPr>
                <w:t>Amendment No. 6, dated December 30, 2024, to Consulting Agreement, dated August 25, 2020, by and between Organovo, Inc. and Danforth Advisors, LLC (incorporated by reference from Exhibit 10.2 to the Company’s Current Report on Form 8-K, as filed with the SEC on December 31, 2024).</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44">
              <w:r>
                <w:rPr>
                  <w:rStyle w:val="InternetLink"/>
                  <w:rFonts w:ascii="Times New Roman;Times;Serif" w:hAnsi="Times New Roman;Times;Serif"/>
                  <w:sz w:val="20"/>
                </w:rPr>
                <w:t>Lease Agreement dated November 23, 2020, between VivoSim Labs, Inc. and San Diego Inspire 1, LLC (Permanent Lease Agreement 176640186.8) (incorporated by reference from Exhibit 10.2 to the Company’s Current Report on Form 8-K, as filed with the SEC on November 25, 2020).</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45">
              <w:r>
                <w:rPr>
                  <w:rStyle w:val="InternetLink"/>
                  <w:rFonts w:ascii="Times New Roman;Times;Serif" w:hAnsi="Times New Roman;Times;Serif"/>
                  <w:sz w:val="20"/>
                </w:rPr>
                <w:t>Amended and Restated Lease Agreement dated November 23, 2020, between Organovo, Inc., as Tenant, and San Diego Inspire 2, LLC, as Landlord, as amended by First Amendment to Amended &amp; Restated Lease, dated November 17, 2021, between San Diego Inspire 2, LLC, as Landlord, and Organovo, Inc., as Tenant (incorporated by reference from Exhibit 10.1 to the Company’s Current Report on Form 8-K, as filed with the SEC on November 19, 2021).</w:t>
              </w:r>
            </w:hyperlink>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5" w:type="dxa"/>
            <w:tcBorders/>
            <w:shd w:fill="CCEEFF" w:val="clear"/>
            <w:tcMar>
              <w:bottom w:w="0" w:type="dxa"/>
            </w:tcMar>
            <w:vAlign w:val="center"/>
          </w:tcPr>
          <w:p>
            <w:pPr>
              <w:pStyle w:val="TableContents"/>
              <w:bidi w:val="0"/>
              <w:spacing w:before="0" w:after="283"/>
              <w:jc w:val="left"/>
              <w:rPr/>
            </w:pPr>
            <w:hyperlink r:id="rId46">
              <w:r>
                <w:rPr>
                  <w:rStyle w:val="InternetLink"/>
                  <w:rFonts w:ascii="Times New Roman;Times;Serif" w:hAnsi="Times New Roman;Times;Serif"/>
                  <w:sz w:val="20"/>
                </w:rPr>
                <w:t>Intercompany Agreement, dated December 28, 2020, by and among VivoSim Labs, Inc., Organovo, Inc. and Viscient Biosciences, Inc. (incorporated by reference from Exhibit 10.1 to the Company’s Current Report on Form 8-K, as filed with the SEC on December 31, 2020).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3"/>
        <w:gridCol w:w="60"/>
        <w:gridCol w:w="9362"/>
      </w:tblGrid>
      <w:tr>
        <w:trPr/>
        <w:tc>
          <w:tcPr>
            <w:tcW w:w="78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6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r:id="rId47">
              <w:r>
                <w:rPr>
                  <w:rStyle w:val="InternetLink"/>
                  <w:rFonts w:ascii="Times New Roman;Times;Serif" w:hAnsi="Times New Roman;Times;Serif"/>
                  <w:sz w:val="20"/>
                </w:rPr>
                <w:t>Sales Agreement, dated March 16, 2018, by and among VivoSim Labs, Inc., H.C. Wainwright  &amp; Co., LLC and JonesTrading Institutional Services LLC. (incorporated by reference from Exhibit 10.1 to the Company’s Current Report on Form 8-K, as filed with the SEC on March 16, 2018).</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r:id="rId48">
              <w:r>
                <w:rPr>
                  <w:rStyle w:val="InternetLink"/>
                  <w:rFonts w:ascii="Times New Roman;Times;Serif" w:hAnsi="Times New Roman;Times;Serif"/>
                  <w:sz w:val="20"/>
                </w:rPr>
                <w:t>VivoSim Labs, Inc. Amended and Restated 2021 Inducement Equity Incentive Plan (incorporated by reference to Exhibit 10.22 to the Company's Annual Report as filed with the SEC on June 5, 2025).</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r:id="rId49">
              <w:r>
                <w:rPr>
                  <w:rStyle w:val="InternetLink"/>
                  <w:rFonts w:ascii="Times New Roman;Times;Serif" w:hAnsi="Times New Roman;Times;Serif"/>
                  <w:sz w:val="20"/>
                </w:rPr>
                <w:t>Form of Stock Option Agreement under the VivoSim Labs, Inc. 2021 Inducement Equity Incentive Plan (incorporated by reference to Exhibit 10.23 to the Company's Annual Report as filed with the SEC on June 5, 2025).</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r:id="rId50">
              <w:r>
                <w:rPr>
                  <w:rStyle w:val="InternetLink"/>
                  <w:rFonts w:ascii="Times New Roman;Times;Serif" w:hAnsi="Times New Roman;Times;Serif"/>
                  <w:sz w:val="20"/>
                </w:rPr>
                <w:t>Form of Restricted Stock Unit Agreement under the VivoSim Labs, Inc. 2021 Inducement Equity Incentive Plan (incorporated by reference to Exhibit 10.24 to the Company's Annual Report as filed with the SEC on June 5, 2025).</w:t>
              </w:r>
            </w:hyperlink>
          </w:p>
        </w:tc>
      </w:tr>
      <w:tr>
        <w:trPr/>
        <w:tc>
          <w:tcPr>
            <w:tcW w:w="7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2" w:type="dxa"/>
            <w:tcBorders/>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r:id="rId51">
              <w:r>
                <w:rPr>
                  <w:rStyle w:val="InternetLink"/>
                  <w:rFonts w:ascii="Times New Roman;Times;Serif" w:hAnsi="Times New Roman;Times;Serif"/>
                  <w:sz w:val="20"/>
                </w:rPr>
                <w:t>Settlement and Patent License Agreement, dated February 22, 2022, by and between Organovo, Inc. and BICO Group AB (incorporated by reference to Exhibit 10.34 to the Company’s Annual Report on Form 10-K, as filed with the SEC on June 10, 2022).</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r:id="rId52">
              <w:r>
                <w:rPr>
                  <w:rStyle w:val="InternetLink"/>
                  <w:rFonts w:ascii="Times New Roman;Times;Serif" w:hAnsi="Times New Roman;Times;Serif"/>
                  <w:sz w:val="20"/>
                </w:rPr>
                <w:t>VivoSim Labs, Inc. Amended and Restated 2022 Equity Incentive Plan (incorporated by reference to Exhibit 10.26 to the Company's Annual Report as filed with the SEC on June 5, 2025).</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r:id="rId53">
              <w:r>
                <w:rPr>
                  <w:rStyle w:val="InternetLink"/>
                  <w:rFonts w:ascii="Times New Roman;Times;Serif" w:hAnsi="Times New Roman;Times;Serif"/>
                  <w:sz w:val="20"/>
                </w:rPr>
                <w:t>Form of Global Stock Option Award Agreement under the VivoSim Labs, Inc. Amended and Restated 2022 Equity Incentive Plan (incorporated by reference to Exhibit 10.27 to the Company's Annual Report as filed with the SEC on June 5, 2025).</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r:id="rId54">
              <w:r>
                <w:rPr>
                  <w:rStyle w:val="InternetLink"/>
                  <w:rFonts w:ascii="Times New Roman;Times;Serif" w:hAnsi="Times New Roman;Times;Serif"/>
                  <w:sz w:val="20"/>
                </w:rPr>
                <w:t>Form of Global Restricted Stock Unit Award Agreement under the VivoSim Labs, Inc. Amended and Restated 2022 Equity Incentive Plan (incorporated by reference to Exhibit 10.28 to the Company's Annual Report as filed with the SEC on June 5, 2025).</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r:id="rId55">
              <w:r>
                <w:rPr>
                  <w:rStyle w:val="InternetLink"/>
                  <w:rFonts w:ascii="Times New Roman;Times;Serif" w:hAnsi="Times New Roman;Times;Serif"/>
                  <w:sz w:val="20"/>
                </w:rPr>
                <w:t>VivoSim Labs, Inc. Amended and Restated 2023 Employee Stock Purchase Plan (incorporated by reference to Exhibit 10.29 to the Company's Annual Report as filed with the SEC on June 5, 2025).</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w:anchor="ea028377701ex10-30.htm">
              <w:r>
                <w:rPr>
                  <w:rStyle w:val="InternetLink"/>
                  <w:rFonts w:ascii="Times New Roman;Times;Serif" w:hAnsi="Times New Roman;Times;Serif"/>
                  <w:sz w:val="20"/>
                </w:rPr>
                <w:t>Form of Securities Purchase Agreement.</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r:id="rId56">
              <w:r>
                <w:rPr>
                  <w:rStyle w:val="InternetLink"/>
                  <w:rFonts w:ascii="Times New Roman;Times;Serif" w:hAnsi="Times New Roman;Times;Serif"/>
                  <w:sz w:val="20"/>
                </w:rPr>
                <w:t>Subsidiaries of VivoSim Labs, Inc. (incorporated by reference to Exhibit 21.1 to the Company's Annual Report as filed with the SEC on June 5, 2025).</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w:anchor="ea028377701ex23-1.htm">
              <w:r>
                <w:rPr>
                  <w:rStyle w:val="InternetLink"/>
                  <w:rFonts w:ascii="Times New Roman;Times;Serif" w:hAnsi="Times New Roman;Times;Serif"/>
                  <w:sz w:val="20"/>
                </w:rPr>
                <w:t>Consent of Independent Registered Public Accounting Firm.</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w:anchor="pow_001">
              <w:r>
                <w:rPr>
                  <w:rStyle w:val="InternetLink"/>
                  <w:rFonts w:ascii="Times New Roman;Times;Serif" w:hAnsi="Times New Roman;Times;Serif"/>
                  <w:sz w:val="20"/>
                </w:rPr>
                <w:t>Power of Attorney (included on signature page hereto).</w:t>
              </w:r>
            </w:hyperlink>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Inline XBRL Taxonomy Extension Schema With Embedded Linkbase Documents. </w:t>
            </w:r>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7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2" w:type="dxa"/>
            <w:tcBorders/>
            <w:shd w:fill="FFFFFF" w:val="clear"/>
            <w:tcMar>
              <w:bottom w:w="0" w:type="dxa"/>
            </w:tcMar>
            <w:vAlign w:val="center"/>
          </w:tcPr>
          <w:p>
            <w:pPr>
              <w:pStyle w:val="TableContents"/>
              <w:bidi w:val="0"/>
              <w:spacing w:before="0" w:after="283"/>
              <w:jc w:val="left"/>
              <w:rPr/>
            </w:pPr>
            <w:r>
              <w:rPr/>
              <w:t> </w:t>
            </w:r>
          </w:p>
        </w:tc>
      </w:tr>
      <w:tr>
        <w:trPr/>
        <w:tc>
          <w:tcPr>
            <w:tcW w:w="78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2" w:type="dxa"/>
            <w:tcBorders/>
            <w:shd w:fill="CCEEFF" w:val="clear"/>
            <w:tcMar>
              <w:bottom w:w="0" w:type="dxa"/>
            </w:tcMar>
            <w:vAlign w:val="center"/>
          </w:tcPr>
          <w:p>
            <w:pPr>
              <w:pStyle w:val="TableContents"/>
              <w:bidi w:val="0"/>
              <w:spacing w:before="0" w:after="283"/>
              <w:jc w:val="left"/>
              <w:rPr/>
            </w:pPr>
            <w:hyperlink w:anchor="ea028377701ex-fee.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bl>
    <w:tbl>
      <w:tblPr>
        <w:tblW w:w="4975" w:type="dxa"/>
        <w:jc w:val="left"/>
        <w:tblInd w:w="0" w:type="dxa"/>
        <w:tblLayout w:type="fixed"/>
        <w:tblCellMar>
          <w:top w:w="0" w:type="dxa"/>
          <w:left w:w="0" w:type="dxa"/>
          <w:bottom w:w="0" w:type="dxa"/>
          <w:right w:w="0" w:type="dxa"/>
        </w:tblCellMar>
      </w:tblPr>
      <w:tblGrid>
        <w:gridCol w:w="140"/>
        <w:gridCol w:w="483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Designates management contracts and compensation plans.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identified information has been omitted pursuant to Item 601(b)(10) of Regulation S-K 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2218" w:right="0" w:hanging="49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w:t>
            </w:r>
          </w:p>
        </w:tc>
      </w:tr>
    </w:tbl>
    <w:p>
      <w:pPr>
        <w:pStyle w:val="TextBody"/>
        <w:bidi w:val="0"/>
        <w:spacing w:before="0" w:after="0"/>
        <w:ind w:left="2218"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Securities and Exchange Commission (the “Commission”) pursuant to Rule 424(b) if, in the aggregate, the changes in volume and price represent no more than 20% change in the maximum aggregate offering price set forth in the “Calculation of Registration Fee” table in the effective registration statement; and</w:t>
            </w:r>
          </w:p>
        </w:tc>
      </w:tr>
    </w:tbl>
    <w:p>
      <w:pPr>
        <w:pStyle w:val="TextBody"/>
        <w:bidi w:val="0"/>
        <w:spacing w:before="0" w:after="0"/>
        <w:ind w:left="2218"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(1)(i), (1)(ii) and (1)(iii) above do not apply if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2218"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p>
      <w:pPr>
        <w:pStyle w:val="TextBody"/>
        <w:bidi w:val="0"/>
        <w:spacing w:before="0" w:after="0"/>
        <w:ind w:left="2218"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0"/>
        <w:ind w:left="2218"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2218" w:right="0" w:hanging="49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30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toc"/>
      <w:bookmarkEnd w:id="18"/>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duly caused this Registration Statement to be signed on its behalf by the undersigned, thereunto duly authorized, in the City of San Diego, State of California, on March 27, 2026.</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75"/>
        <w:gridCol w:w="320"/>
        <w:gridCol w:w="1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VIVOSIM LABS,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Keith Murphy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 Murphy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0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pow_001"/>
      <w:bookmarkEnd w:id="19"/>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Keith Murphy and Norman Staskey, and each or any one of them, as his or her true and lawful attorney-in-fact and agent, with full power of substitution and resubstitution, for him or her and in his or her name, place and stead, in any and all capacities, to sign any and all amendments (including post-effective amendments and any related registration statements filed pursuant to Rule 462 and otherwise)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28" w:type="dxa"/>
          <w:right w:w="0" w:type="dxa"/>
        </w:tblCellMar>
      </w:tblPr>
      <w:tblGrid>
        <w:gridCol w:w="1595"/>
        <w:gridCol w:w="60"/>
        <w:gridCol w:w="4415"/>
        <w:gridCol w:w="60"/>
        <w:gridCol w:w="1325"/>
      </w:tblGrid>
      <w:tr>
        <w:trPr/>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4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Keith Murphy</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Keith Murphy</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Norman Staskey</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Norman Staskey</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Stern</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Stern</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Douglas Cohen</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Douglas Cohen</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Gobel</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Gobel</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5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Alison Milhous</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2026</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Alison Milhous</w:t>
            </w:r>
          </w:p>
        </w:tc>
        <w:tc>
          <w:tcPr>
            <w:tcW w:w="60" w:type="dxa"/>
            <w:tcBorders/>
            <w:tcMar>
              <w:bottom w:w="0" w:type="dxa"/>
            </w:tcMar>
            <w:vAlign w:val="center"/>
          </w:tcPr>
          <w:p>
            <w:pPr>
              <w:pStyle w:val="TableContents"/>
              <w:bidi w:val="0"/>
              <w:spacing w:before="0" w:after="283"/>
              <w:jc w:val="left"/>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0" w:name="ea028377701ex1-1.htm"/>
      <w:bookmarkStart w:id="21" w:name="ksea028377701ex11"/>
      <w:bookmarkEnd w:id="20"/>
      <w:bookmarkEnd w:id="21"/>
      <w:r>
        <w:rPr>
          <w:rFonts w:ascii="Times New Roman;Times;Serif" w:hAnsi="Times New Roman;Times;Serif"/>
          <w:b/>
          <w:i w:val="false"/>
          <w:caps w:val="false"/>
          <w:smallCaps w:val="false"/>
          <w:sz w:val="20"/>
        </w:rPr>
        <w:t>Exhibit 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AGENCY AGREEMENT</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[__], 2026</w:t>
      </w:r>
    </w:p>
    <w:p>
      <w:pPr>
        <w:pStyle w:val="TextBody"/>
        <w:bidi w:val="0"/>
        <w:spacing w:before="0" w:after="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VivoSim Labs, Inc.</w:t>
        <w:br/>
        <w:t>11555 Sorrento Valley Road, Suite 100</w:t>
        <w:br/>
        <w:t>San Diego, California 92121</w:t>
        <w:br/>
        <w:t>Attention: Keith Murphy, Executive Chairman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Murphy: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herein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and the satisfaction (or waiver) of the conditions set forth in the Purchase Agreement (defined below), VivoSim Labs,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hereby agrees to issue and sell, and the Purchasers, severally and not jointly, agree to purchase, up to an aggregate of $4,000,000 of registered securities of the Company, including [__]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$0.001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or prefunded common stock purchase warrants in lieu thereof, each to purchase one share of Common Stock (the “</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and [__] common warrants, each to purchase one share of Common Stock (the “</w:t>
      </w:r>
      <w:r>
        <w:rPr>
          <w:rFonts w:ascii="Times New Roman;Times;Serif" w:hAnsi="Times New Roman;Times;Serif"/>
          <w:b w:val="false"/>
          <w:i w:val="false"/>
          <w:caps w:val="false"/>
          <w:smallCaps w:val="false"/>
          <w:sz w:val="20"/>
          <w:u w:val="single"/>
        </w:rPr>
        <w:t>Common Warrants</w:t>
      </w:r>
      <w:r>
        <w:rPr>
          <w:rFonts w:ascii="Times New Roman;Times;Serif" w:hAnsi="Times New Roman;Times;Serif"/>
          <w:b w:val="false"/>
          <w:i w:val="false"/>
          <w:caps w:val="false"/>
          <w:smallCaps w:val="false"/>
          <w:sz w:val="20"/>
        </w:rPr>
        <w:t>”, and the shares of Common Stock underlying the Prefunded Warrants and the Common Warrants,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and collectively with the Shares, the Prefunded Warrants, the Common Warrants and the Warrant Shares,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directly to various investors (each, an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 through Joseph Gunnar &amp; Co., LLC (the “</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scheduled as follows: (i) the initial sale and purchase (the “</w:t>
      </w:r>
      <w:r>
        <w:rPr>
          <w:rFonts w:ascii="Times New Roman;Times;Serif" w:hAnsi="Times New Roman;Times;Serif"/>
          <w:b w:val="false"/>
          <w:i w:val="false"/>
          <w:caps w:val="false"/>
          <w:smallCaps w:val="false"/>
          <w:sz w:val="20"/>
          <w:u w:val="single"/>
        </w:rPr>
        <w:t>Initial Closing</w:t>
      </w:r>
      <w:r>
        <w:rPr>
          <w:rFonts w:ascii="Times New Roman;Times;Serif" w:hAnsi="Times New Roman;Times;Serif"/>
          <w:b w:val="false"/>
          <w:i w:val="false"/>
          <w:caps w:val="false"/>
          <w:smallCaps w:val="false"/>
          <w:sz w:val="20"/>
        </w:rPr>
        <w:t>” and the date thereof, the “</w:t>
      </w:r>
      <w:r>
        <w:rPr>
          <w:rFonts w:ascii="Times New Roman;Times;Serif" w:hAnsi="Times New Roman;Times;Serif"/>
          <w:b w:val="false"/>
          <w:i w:val="false"/>
          <w:caps w:val="false"/>
          <w:smallCaps w:val="false"/>
          <w:sz w:val="20"/>
          <w:u w:val="single"/>
        </w:rPr>
        <w:t>Initial Closing Date</w:t>
      </w:r>
      <w:r>
        <w:rPr>
          <w:rFonts w:ascii="Times New Roman;Times;Serif" w:hAnsi="Times New Roman;Times;Serif"/>
          <w:b w:val="false"/>
          <w:i w:val="false"/>
          <w:caps w:val="false"/>
          <w:smallCaps w:val="false"/>
          <w:sz w:val="20"/>
        </w:rPr>
        <w:t>”) of an aggregate of $3,000,000 of Shares (or Pre-Funded Warrants in lieu of Shares) and Common Warrants shall take place as soon as practicable, but no later than the Business Day following the satisfaction of all of the closing conditions set forth in Section 2.3 of the Purchase Agreement applicable to the Initial Closing (other than those to be satisfied at the Initial Closing, but subject to the satisfaction or waiver of such closing conditions); and (ii) the additional sale and purchase (the “</w:t>
      </w:r>
      <w:r>
        <w:rPr>
          <w:rFonts w:ascii="Times New Roman;Times;Serif" w:hAnsi="Times New Roman;Times;Serif"/>
          <w:b w:val="false"/>
          <w:i w:val="false"/>
          <w:caps w:val="false"/>
          <w:smallCaps w:val="false"/>
          <w:sz w:val="20"/>
          <w:u w:val="single"/>
        </w:rPr>
        <w:t>Additional Closing</w:t>
      </w:r>
      <w:r>
        <w:rPr>
          <w:rFonts w:ascii="Times New Roman;Times;Serif" w:hAnsi="Times New Roman;Times;Serif"/>
          <w:b w:val="false"/>
          <w:i w:val="false"/>
          <w:caps w:val="false"/>
          <w:smallCaps w:val="false"/>
          <w:sz w:val="20"/>
        </w:rPr>
        <w:t>”) of $1,000,000 of Shares (or Pre-Funded Warrants in lieu of Shares) and Common Warrants, subject to the satisfaction or waiver of all the closing conditions set forth in Section 2.3 of the Purchase Agreement applicable to the Additional Closing, shall take place on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Initial Closing (the “</w:t>
      </w:r>
      <w:r>
        <w:rPr>
          <w:rFonts w:ascii="Times New Roman;Times;Serif" w:hAnsi="Times New Roman;Times;Serif"/>
          <w:b w:val="false"/>
          <w:i w:val="false"/>
          <w:caps w:val="false"/>
          <w:smallCaps w:val="false"/>
          <w:sz w:val="20"/>
          <w:u w:val="single"/>
        </w:rPr>
        <w:t>Additional Closing Date</w:t>
      </w:r>
      <w:r>
        <w:rPr>
          <w:rFonts w:ascii="Times New Roman;Times;Serif" w:hAnsi="Times New Roman;Times;Serif"/>
          <w:b w:val="false"/>
          <w:i w:val="false"/>
          <w:caps w:val="false"/>
          <w:smallCaps w:val="false"/>
          <w:sz w:val="20"/>
        </w:rPr>
        <w:t>”). Each of the Initial Closing and the Additional Closing is referred to as a “Closing”, and the date of such Closing, a “Closing Date”. The documents executed and delivered by the Company and the Investors in connection with the Offering (as defined below), including, without limitation, a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shall be collectively referred to herein as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The purchase price to the Investors is $[__] per Share (the “</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provided that the purchase price per Prefunded Warrant shall be the Per Share Purchase Price minus $0.001. The exercise price to the Investors for each share of Common Stock issuable upon exercise of the Prefunded Warrants is $0.001, and the exercise price to the Investors for each share of Common Stock issuable upon exercise of the Common Warrants is $[__]. The Placement Agent may retain other brokers or dealers to act as sub-agents or selected-dealers on its behalf in connection with the Offering. Capitalized terms used herein and not otherwise defined shall have the meanings set forth for them in the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 with the Placement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Agreement to Act as Placement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basis of the representations, warranties and agreements of the Company herein contained, and subject to all the terms and conditions of this Agreement, the Placement Agent shall be the exclusive placement agent in connection with the offering and sale by the Company of the Securities pursuant to the Company’s registration statement on Form S-1 (File No. 333-[__])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 the terms of such offering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to be subject to market conditions and negotiations between the Company, the Placement Agent and the prospective Investors. The Placement Agent will act on a reasonable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 to any prospective offer to purchase Securities and the Company shall have the sole right to accept offers to purchase Securities and may reject any such offer, in whole or in part. Subject to the terms and conditions hereof, payment of the purchase price for, and delivery of, the Securities shall be made at a Closing. Pursuant to the terms of the Purchase Agreement, a Closing shall occur via “Delivery Versus Payment”, i.e., on a Closing Date, the Company shall issue the Shares directly to the account designated by the Placement Agent and, upon receipt of such Shares, the Placement Agent shall electronically deliver such Shares to the applicable Investor and payment of the purchase price of the Securities shall be made by the Placement Agent (or its clearing firm) by wire transfer to the Company. The Warrants shall be delivered to the Investors by the Placement Agent, or as directed by the Placement Agent, in certificated form. As compensation for services rendered, and provided that any of the Securities are sold to the Investors in the Offering, on a Closing Date, the Company shall pay to the Placement Agent the fees and expenses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cash fee equal to 7.5% of the gross proceeds received by the Company from the sale of the Securities at each 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number of Common Stock purchase warrants (the “</w:t>
      </w:r>
      <w:r>
        <w:rPr>
          <w:rFonts w:ascii="Times New Roman;Times;Serif" w:hAnsi="Times New Roman;Times;Serif"/>
          <w:b w:val="false"/>
          <w:i w:val="false"/>
          <w:caps w:val="false"/>
          <w:smallCaps w:val="false"/>
          <w:sz w:val="20"/>
          <w:u w:val="single"/>
        </w:rPr>
        <w:t>Placement Agent Warrants</w:t>
      </w:r>
      <w:r>
        <w:rPr>
          <w:rFonts w:ascii="Times New Roman;Times;Serif" w:hAnsi="Times New Roman;Times;Serif"/>
          <w:b w:val="false"/>
          <w:i w:val="false"/>
          <w:caps w:val="false"/>
          <w:smallCaps w:val="false"/>
          <w:sz w:val="20"/>
        </w:rPr>
        <w:t>”) to the Placement Agent or its designees at each Closing to purchase shares of Common Stock up to 5.0% of the aggregate number of Shares and Prefunded Warrants sold in the Offering. The Placement Agent Warrants shall have an exercise price of 125% of the public offering price per share, will be exercisable six months after the applicable Closing Date in which they are issued, have an expiration date of three (3) years from the applicable date of issuance and will have registration rights (including a one-time demand registration right and unlimited piggyback rights for a period of five years from their issuance date) and customary anti-dilution provisions for certain corporate actions (i.e. stock dividends and splits and recapitalizations). The Placement Agent Warrants shall not be transferable for 180 days from the date of the Closing except as permitted by the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Rule 5110(e)(2).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also agrees, subject to Section 6 herein, to reimburse Placement Agent’s documented expenses up to a maximum of $60,000 comprised of (i) up to $30,000 relating to the fees and expenses of the Placement Agent’s Counsel (as defined below) if the Offering closes; (ii) $15,000 relating to the fees, expenses and disbursements relating to the background checks of the Company’s officers, directors and entities, (iii) up to $5,000 relating to the Placement Agent’s actual accountable, reasonable and documented “road show” expenses for the Offering, and (iv) $5,000 reasonable fees and disbursements of “blue sky” counsel upon commencement of “blue sky” work by such counsel and an additional $5,000 at the Initial Closing, unless otherwise agreed by the Company and the Placement Agent, payable immediately upon the Initial 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Company terminates the Engagement Letter for “Cause” (as defined therein, if the Company subsequently completes any public or private financing, at any time during the six (6) months after the Initial Closing Date, with any investors introduced by the Placement Agent in connection with the Offering (the “</w:t>
      </w:r>
      <w:r>
        <w:rPr>
          <w:rFonts w:ascii="Times New Roman;Times;Serif" w:hAnsi="Times New Roman;Times;Serif"/>
          <w:b w:val="false"/>
          <w:i w:val="false"/>
          <w:caps w:val="false"/>
          <w:smallCaps w:val="false"/>
          <w:sz w:val="20"/>
          <w:u w:val="single"/>
        </w:rPr>
        <w:t>Tail Parties</w:t>
      </w:r>
      <w:r>
        <w:rPr>
          <w:rFonts w:ascii="Times New Roman;Times;Serif" w:hAnsi="Times New Roman;Times;Serif"/>
          <w:b w:val="false"/>
          <w:i w:val="false"/>
          <w:caps w:val="false"/>
          <w:smallCaps w:val="false"/>
          <w:sz w:val="20"/>
        </w:rPr>
        <w:t>”), then the Placement Agent shall be entitled to receive the compensation set forth in this Section 1(a) (the “</w:t>
      </w:r>
      <w:r>
        <w:rPr>
          <w:rFonts w:ascii="Times New Roman;Times;Serif" w:hAnsi="Times New Roman;Times;Serif"/>
          <w:b w:val="false"/>
          <w:i w:val="false"/>
          <w:caps w:val="false"/>
          <w:smallCaps w:val="false"/>
          <w:sz w:val="20"/>
          <w:u w:val="single"/>
        </w:rPr>
        <w:t>Tail</w:t>
      </w:r>
      <w:r>
        <w:rPr>
          <w:rFonts w:ascii="Times New Roman;Times;Serif" w:hAnsi="Times New Roman;Times;Serif"/>
          <w:b w:val="false"/>
          <w:i w:val="false"/>
          <w:caps w:val="false"/>
          <w:smallCaps w:val="false"/>
          <w:sz w:val="20"/>
        </w:rPr>
        <w:t>”) in connection with any such investor(s) contacted by the Placement Agent regarding the Offering, provided that the Tail for investors who participate in the Offering shall be twelve (12) months. The Placement Agent shall provide a list of the Tail Parties to the Company, which list shall be delivered to the Company within ten (10) days from the Initial Closing Date, and shall make available to the Company reasonable supporting materials upon request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Until the date that is the six (6) month anniversary of the Engagement Agreement (as defined below), and provided that the Placement Agent is processing the Offering in good faith and on commercially typical terms and timelines and the Company does not elect to extend the Engagement Period (as defined in the Engagement Agreement) or otherwise elects to pursue an alternative financing other than the Offering, upon each and every public and private equity and equity-linked or convertible debt offering by the Company, any successor to the Company, or any Subsidiary of the Company (each a “</w:t>
      </w:r>
      <w:r>
        <w:rPr>
          <w:rFonts w:ascii="Times New Roman;Times;Serif" w:hAnsi="Times New Roman;Times;Serif"/>
          <w:b w:val="false"/>
          <w:i w:val="false"/>
          <w:caps w:val="false"/>
          <w:smallCaps w:val="false"/>
          <w:sz w:val="20"/>
          <w:u w:val="single"/>
        </w:rPr>
        <w:t>Subsequent Financing</w:t>
      </w:r>
      <w:r>
        <w:rPr>
          <w:rFonts w:ascii="Times New Roman;Times;Serif" w:hAnsi="Times New Roman;Times;Serif"/>
          <w:b w:val="false"/>
          <w:i w:val="false"/>
          <w:caps w:val="false"/>
          <w:smallCaps w:val="false"/>
          <w:sz w:val="20"/>
        </w:rPr>
        <w:t>”), the Placement Agent shall have the irrevocable right, but not the obligation, to participate in such Subsequent Financing as investment banker, co-manager, co-placement agent, sales agent, advisor, or otherwise, whichever applicable, for at least twenty-five percent (25%) of the total economics of the Subsequent Financing on the same terms, conditions and price provided for in the Subsequent Financing (“</w:t>
      </w:r>
      <w:r>
        <w:rPr>
          <w:rFonts w:ascii="Times New Roman;Times;Serif" w:hAnsi="Times New Roman;Times;Serif"/>
          <w:b w:val="false"/>
          <w:i w:val="false"/>
          <w:caps w:val="false"/>
          <w:smallCaps w:val="false"/>
          <w:sz w:val="20"/>
          <w:u w:val="single"/>
        </w:rPr>
        <w:t>Participation Right</w:t>
      </w:r>
      <w:r>
        <w:rPr>
          <w:rFonts w:ascii="Times New Roman;Times;Serif" w:hAnsi="Times New Roman;Times;Serif"/>
          <w:b w:val="false"/>
          <w:i w:val="false"/>
          <w:caps w:val="false"/>
          <w:smallCaps w:val="false"/>
          <w:sz w:val="20"/>
        </w:rPr>
        <w:t>”). The Company agrees to provide the Placement Agent with reasonable written notice of its intention to effect a Subsequent Financing which such notice shall include all of the terms, structure, sizing and conditions of such Subsequent Financing, including, but not limited to, all key metrics that the Placement Agent would reasonably require to make an informed decision regarding its Participation Right (each a “</w:t>
      </w:r>
      <w:r>
        <w:rPr>
          <w:rFonts w:ascii="Times New Roman;Times;Serif" w:hAnsi="Times New Roman;Times;Serif"/>
          <w:b w:val="false"/>
          <w:i w:val="false"/>
          <w:caps w:val="false"/>
          <w:smallCaps w:val="false"/>
          <w:sz w:val="20"/>
          <w:u w:val="single"/>
        </w:rPr>
        <w:t>Subsequent Financings Notice</w:t>
      </w:r>
      <w:r>
        <w:rPr>
          <w:rFonts w:ascii="Times New Roman;Times;Serif" w:hAnsi="Times New Roman;Times;Serif"/>
          <w:b w:val="false"/>
          <w:i w:val="false"/>
          <w:caps w:val="false"/>
          <w:smallCaps w:val="false"/>
          <w:sz w:val="20"/>
        </w:rPr>
        <w:t>”). The Placement Agent shall have three (3) days from the receipt of a Subsequent Financing Notice to respond to the Company with its election regarding its Participation Right with respect to a Subsequent Financing. The failure of the Placement Agent to exercise its Participation Right within such period shall be deemed a waiver of its Participation Right with respect to the Subsequent Financing that is the subject of such Subsequent Financing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term of the Placement Agent’s exclusive engagement will be as set forth in the Engagement Agreement (as defined below). 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and to reimburse expenses actually incurred and reimbursable pursuant to Section 1 hereof and which are permitted to be reimbursed under Financial Industry Regulatory Authority (“FINRA”) Rule 5110(g)(4)(A), will survive any expiration or termination of this Agreement. Nothing in this Agreement shall be construed to limit the ability of the Placement Agent or its Affiliates to pursue, investigate, analyze, invest in, or engage in investment banking, financial advisory or any other business relationship with Persons (as defined below) other than the Company. As used herein (i) “Persons” means an individual or corporation, partnership, trust, incorporated or unincorporated association, joint venture, limited liability company, joint stock company, government (or an agency or subdivision thereof) or other entity of any kind and (ii) “Affiliate”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 Representations, Warranties and Covenants of the Company. </w:t>
      </w:r>
      <w:r>
        <w:rPr>
          <w:rFonts w:ascii="Times New Roman;Times;Serif" w:hAnsi="Times New Roman;Times;Serif"/>
          <w:b w:val="false"/>
          <w:i w:val="false"/>
          <w:caps w:val="false"/>
          <w:smallCaps w:val="false"/>
          <w:sz w:val="20"/>
        </w:rPr>
        <w:t>The Company hereby represents, warrants and covenants to the Placement Agent as of the date hereof, and as of each Closing Date, as applicable,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Any certificate signed by an officer of the Company and delivered to the Placement Agent or to counsel for the Placement Agent shall be deemed to be a representation and warranty by the Company to the Placement Agent as to the matters set forth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The Company acknowledges that the Placement Agent will rely upon the accuracy and truthfulness of the foregoing representations and warranties and hereby consents to such reliance.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statements (within the meaning of Section 27A of the Securities Act and Section 21E of the Exchange Act) contained in the Pricing Prospectus have been made or reaffirmed without a reasonable basis or has been disclosed other than in good faith.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Statistical or Market-Related Data</w:t>
      </w:r>
      <w:r>
        <w:rPr>
          <w:rFonts w:ascii="Times New Roman;Times;Serif" w:hAnsi="Times New Roman;Times;Serif"/>
          <w:b w:val="false"/>
          <w:i w:val="false"/>
          <w:caps w:val="false"/>
          <w:smallCaps w:val="false"/>
          <w:sz w:val="20"/>
        </w:rPr>
        <w:t>. Any statistical, industry-related and market-related data included or incorporated by reference in the Pricing Prospectus, are based on or derived from sources that the Company reasonably and in good faith believes to be reliable and accurate, and such data agree with the sources from which they are derived.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FINRA Affiliations</w:t>
      </w:r>
      <w:r>
        <w:rPr>
          <w:rFonts w:ascii="Times New Roman;Times;Serif" w:hAnsi="Times New Roman;Times;Serif"/>
          <w:b w:val="false"/>
          <w:i w:val="false"/>
          <w:caps w:val="false"/>
          <w:smallCaps w:val="false"/>
          <w:sz w:val="20"/>
        </w:rPr>
        <w:t>. There are no affiliates with any FINRA member firm that is participating in the Offering among the Company’s executive officers, directors, or to the knowledge of the Company, any ten percent (10%) or greater stockholder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Representations and Warranties Incorporated by Reference</w:t>
      </w:r>
      <w:r>
        <w:rPr>
          <w:rFonts w:ascii="Times New Roman;Times;Serif" w:hAnsi="Times New Roman;Times;Serif"/>
          <w:b w:val="false"/>
          <w:i w:val="false"/>
          <w:caps w:val="false"/>
          <w:smallCaps w:val="false"/>
          <w:sz w:val="20"/>
        </w:rPr>
        <w:t>. Each of the representations and warranties (together with any related disclosure schedules thereto) made to the Investors in the Purchase Agreement is hereby incorporated herein by reference (as though fully restated herein) and is hereby made to, and in favor of,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 Delivery and Payment. </w:t>
      </w:r>
      <w:r>
        <w:rPr>
          <w:rFonts w:ascii="Times New Roman;Times;Serif" w:hAnsi="Times New Roman;Times;Serif"/>
          <w:b w:val="false"/>
          <w:i w:val="false"/>
          <w:caps w:val="false"/>
          <w:smallCaps w:val="false"/>
          <w:sz w:val="20"/>
        </w:rPr>
        <w:t>Each Closing, as applicable, shall occur at the offices of Pryor Cashman LLP, 7 Times Square, New York, New York 10036 (“</w:t>
      </w:r>
      <w:r>
        <w:rPr>
          <w:rFonts w:ascii="Times New Roman;Times;Serif" w:hAnsi="Times New Roman;Times;Serif"/>
          <w:b w:val="false"/>
          <w:i w:val="false"/>
          <w:caps w:val="false"/>
          <w:smallCaps w:val="false"/>
          <w:sz w:val="20"/>
          <w:u w:val="single"/>
        </w:rPr>
        <w:t>Placement Agent’s Counsel</w:t>
      </w:r>
      <w:r>
        <w:rPr>
          <w:rFonts w:ascii="Times New Roman;Times;Serif" w:hAnsi="Times New Roman;Times;Serif"/>
          <w:b w:val="false"/>
          <w:i w:val="false"/>
          <w:caps w:val="false"/>
          <w:smallCaps w:val="false"/>
          <w:sz w:val="20"/>
        </w:rPr>
        <w:t>”) (or at such other place as shall be agreed upon by the Placement Agent and the Company). Subject to the terms and conditions hereof, at each Closing payment of the purchase price for the Securities sold on such Closing Date shall be made by Federal Funds wire transfer, against delivery of such Securities, and such Securities shall be registered in such name or names and shall be in such denominations, as the Placement Agent may request at least one business day before the time of purchase (as defined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of the documents with respect to the purchase of the Securities, if any, shall be made at the offices of Placement Agent’s Counsel. All actions taken at a Closing shall be deemed to have occurred simultaneously.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 Covenants and Agreements of the Company. </w:t>
      </w:r>
      <w:r>
        <w:rPr>
          <w:rFonts w:ascii="Times New Roman;Times;Serif" w:hAnsi="Times New Roman;Times;Serif"/>
          <w:b w:val="false"/>
          <w:i w:val="false"/>
          <w:caps w:val="false"/>
          <w:smallCaps w:val="false"/>
          <w:sz w:val="20"/>
        </w:rPr>
        <w:t>The Company further covenants and agrees with the Placement Agent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Matters</w:t>
      </w:r>
      <w:r>
        <w:rPr>
          <w:rFonts w:ascii="Times New Roman;Times;Serif" w:hAnsi="Times New Roman;Times;Serif"/>
          <w:b w:val="false"/>
          <w:i w:val="false"/>
          <w:caps w:val="false"/>
          <w:smallCaps w:val="false"/>
          <w:sz w:val="20"/>
        </w:rPr>
        <w:t>. The Company will advise the Placement Agent promptly after it receives notice thereof of the time when any amendment to the Registration Statement has been filed or becomes effective or any supplement to the Prospectus has been filed and will furnish the Placement Agent with copies thereof. The Company will file promptly all reports and any definitive proxy or information statements required to be filed by the Company with the Commission pursuant to Section 13(a), 14 or 15(d) of the Exchange Act subsequent to the date of any Prospectus and for so long as the delivery of a prospectus is required in connection with the Offering. The Company will advise the Placement Agent, promptly after it receives notice thereof (i) of any request by the Commission to amend the Registration Statement or to amend or supplement any Prospectus or for additional information, (ii) of the issuance by the Commission of any stop order suspending the effectiveness of the Registration Statement or any post-effective amendment thereto or any order directed at any document incorporated by reference therein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if any, or any amendment or supplement thereto or any order preventing or suspending the use of the Preliminary Prospectus or the Prospectus or any prospectus supplement or any amendment or supplement thereto or any post-effective amendment to the Registration Statement, of the suspension of the qualification of the Securities for offering or sale in any jurisdiction, of the institution or threatened institution of any proceeding for any such purpose, or of any request by the Commission for the amending or supplementing of the Registration Statement or a Prospectus or for additional information, (iii) of the issuance by any state securities commission of any proceedings for the suspension of the qualification of the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Section 4(a) that, in the judgment of the Company, makes any statement of a material fact made in the Registration Statement or the Prospectus untrue or that requires the making of any changes in the Registration Statement or the Prospectus in order to make the statements therein, in light of the circumstances under which they were made, not misleading. The Company shall use its best efforts to prevent the issuance of any such stop order or prevention or suspension of such use. If the Commission shall enter any such stop order or order or notice of prevention or suspension at any time, the Company will use its best efforts to obtain the lifting of such order as soon as practicable, or will file a new registration statement and use its best efforts to have such new registration statement declared effective as soon as practicable. Additionally, the Company agrees that it shall comply with the provisions of Rules 424(b), 430A, 430B and 430C, as applicable, under the Securities Act, including with respect to the timely filing of documents thereunder, and will use its reasonable efforts to confirm that any filings made by the Company under such Rule 424(b) are received in a timely manner by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Blue Sky Compliance</w:t>
      </w:r>
      <w:r>
        <w:rPr>
          <w:rFonts w:ascii="Times New Roman;Times;Serif" w:hAnsi="Times New Roman;Times;Serif"/>
          <w:b w:val="false"/>
          <w:i w:val="false"/>
          <w:caps w:val="false"/>
          <w:smallCaps w:val="false"/>
          <w:sz w:val="20"/>
        </w:rPr>
        <w:t>. The Company will cooperate with the Placement Agent and the Investors in endeavoring to qualify the Securities for sale under the securities laws of such jurisdictions (United States and foreign) as the Placement Agent and the Investors may reasonably request and will make such applications, file such documents, and furnish such information as may be reasonably required for that purpose, provided the Company shall not be required to (i) qualify as a foreign corporation, (ii) file a general consent to service of process in any jurisdiction where it is not now so qualified or required to file such a consent or (iii) subject itself to taxation in any such jurisdiction if it is not otherwise so subject, and provided further that the Company shall not be required to produce any new disclosure document. The Company will, from time to time, prepare and file such statements, reports and other documents as are or may be required to continue such qualifications in effect for so long a period as the Placement Agent may reasonably request for distribution of the Securities. The Company will advise the Placement Agent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Amendments and Supplements to a Prospectus and Other Matters</w:t>
      </w:r>
      <w:r>
        <w:rPr>
          <w:rFonts w:ascii="Times New Roman;Times;Serif" w:hAnsi="Times New Roman;Times;Serif"/>
          <w:b w:val="false"/>
          <w:i w:val="false"/>
          <w:caps w:val="false"/>
          <w:smallCaps w:val="false"/>
          <w:sz w:val="20"/>
        </w:rPr>
        <w:t>. The Company will comply with the Securities Act and the Exchange Act, and the rules and regulations of the Commission thereunder, so as to permit the completion of the distribution of the Securities as contemplated in this Agreement, the Incorporated Documents and any Prospectus. If during the period in which a prospectus is required by law to be delivered in connection with the distribution of Securities contemplated by the Incorporated Documents or any Prospectus (the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any event shall occur as a result of which, in the judgment of the Company or in the reasonable opinion of the Placement Agent or counsel for the Placement Agent, it becomes necessary to amend or supplement the Incorporated Documents or any Prospectus in order to make the statements therein, in the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the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Offering, the Company will furnish the Placement Agent with a copy of such proposed amendment or supplement and will not file any such amendment or supplement to which the Placement Agent reasonably objects.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Copies of any Amendments and Supplements to a Prospectus</w:t>
      </w:r>
      <w:r>
        <w:rPr>
          <w:rFonts w:ascii="Times New Roman;Times;Serif" w:hAnsi="Times New Roman;Times;Serif"/>
          <w:b w:val="false"/>
          <w:i w:val="false"/>
          <w:caps w:val="false"/>
          <w:smallCaps w:val="false"/>
          <w:sz w:val="20"/>
        </w:rPr>
        <w:t>. The Company will furnish the Placement Agent, without charge, during the period beginning on the date hereof and ending on the later of the last Closing Date of the Offering, as many copies of any Prospectus or prospectus supplement and any amendments and supplements thereto, as the Placement Agent may reasonably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Free Writing</w:t>
      </w:r>
      <w:r>
        <w:rPr>
          <w:rFonts w:ascii="Times New Roman;Times;Serif" w:hAnsi="Times New Roman;Times;Serif"/>
          <w:b w:val="false"/>
          <w:i w:val="false"/>
          <w:caps w:val="false"/>
          <w:smallCaps w:val="false"/>
          <w:sz w:val="20"/>
        </w:rPr>
        <w:t xml:space="preserve"> Prospectus. The Company covenants that it will not, unless it obtains the prior written consent of the Placement Agent, make any offer relating to the Securities that would constitute a “free writing prospectus” (as defined in Rule 405 of the Securities Act) required to be filed by the Company with the Commission or retained by the Company under Rule 433 of the Securities Act. In the event that the Placement Agent expressly consents in writing to any such free writing prospectus (a “</w:t>
      </w:r>
      <w:r>
        <w:rPr>
          <w:rFonts w:ascii="Times New Roman;Times;Serif" w:hAnsi="Times New Roman;Times;Serif"/>
          <w:b w:val="false"/>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the Company covenants that it shall comply with the requirements of Rules 164 and 433 of the Securities Act applicable to such Permitted Free Writing Prospectus, including in respect of timely filing with the Commission, legending and record keeping.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will maintain, at its expense, a registrar and transfer agent for the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As soon as practicable and in accordance with applicable requirements under the Securities Act, but in any event not later than 18 months after the last Closing Date, the Company will make generally available to its security holders and to the Placement Agent an earnings statement, covering a period of at least 12 consecutive months beginning after the last Closing Date, that satisfies the provisions of Section 11(a) and Rule 158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Periodic Reporting Obligations</w:t>
      </w:r>
      <w:r>
        <w:rPr>
          <w:rFonts w:ascii="Times New Roman;Times;Serif" w:hAnsi="Times New Roman;Times;Serif"/>
          <w:b w:val="false"/>
          <w:i w:val="false"/>
          <w:caps w:val="false"/>
          <w:smallCaps w:val="false"/>
          <w:sz w:val="20"/>
        </w:rPr>
        <w:t>. During the Prospectus Delivery Period, the Company will duly file, on a timely basis, with the Commission and the Trading Market (as defined in the Purchase Agreement) all reports and documents required to be filed under the Exchange Act within the time periods and in the manner required by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Additional Documents</w:t>
      </w:r>
      <w:r>
        <w:rPr>
          <w:rFonts w:ascii="Times New Roman;Times;Serif" w:hAnsi="Times New Roman;Times;Serif"/>
          <w:b w:val="false"/>
          <w:i w:val="false"/>
          <w:caps w:val="false"/>
          <w:smallCaps w:val="false"/>
          <w:sz w:val="20"/>
        </w:rPr>
        <w:t>. The Company will enter into any subscription, purchase or other customary agreements as the Placement Agent or the Investors reasonably deem necessary or appropriate to consummate the Offering, all of which will be in form and substance reasonably acceptable to the Placement Agent and the Investors. The Company agrees that the Placement Agent may rely upon, and each is a third party beneficiary of, the representations and warranties, and applicable covenants, set forth in any such purchase, subscription or other agreement with Investors in the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Manipulation of Price</w:t>
      </w:r>
      <w:r>
        <w:rPr>
          <w:rFonts w:ascii="Times New Roman;Times;Serif" w:hAnsi="Times New Roman;Times;Serif"/>
          <w:b w:val="false"/>
          <w:i w:val="false"/>
          <w:caps w:val="false"/>
          <w:smallCaps w:val="false"/>
          <w:sz w:val="20"/>
        </w:rPr>
        <w:t>. Neither the Company, nor, to its knowledge, any of its employees, directors or shareholders,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The Company acknowledges that any advice given by the Placement Agent to the Company is solely for the benefit and use of the Board of Directors of the Company and may not be used, reproduced, disseminated, quoted or referred to, without the Placement Agent’ prior written consent.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Announcement of Offering</w:t>
      </w:r>
      <w:r>
        <w:rPr>
          <w:rFonts w:ascii="Times New Roman;Times;Serif" w:hAnsi="Times New Roman;Times;Serif"/>
          <w:b w:val="false"/>
          <w:i w:val="false"/>
          <w:caps w:val="false"/>
          <w:smallCaps w:val="false"/>
          <w:sz w:val="20"/>
        </w:rPr>
        <w:t>. The Company acknowledges and agrees that the Placement Agent may, subsequent to a Closing, make public its involvement with the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Reliance on Others</w:t>
      </w:r>
      <w:r>
        <w:rPr>
          <w:rFonts w:ascii="Times New Roman;Times;Serif" w:hAnsi="Times New Roman;Times;Serif"/>
          <w:b w:val="false"/>
          <w:i w:val="false"/>
          <w:caps w:val="false"/>
          <w:smallCaps w:val="false"/>
          <w:sz w:val="20"/>
        </w:rPr>
        <w:t>. The Company confirms that it will rely on its own counsel and accountants for legal and accounting advice.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Research Matters</w:t>
      </w:r>
      <w:r>
        <w:rPr>
          <w:rFonts w:ascii="Times New Roman;Times;Serif" w:hAnsi="Times New Roman;Times;Serif"/>
          <w:b w:val="false"/>
          <w:i w:val="false"/>
          <w:caps w:val="false"/>
          <w:smallCaps w:val="false"/>
          <w:sz w:val="20"/>
        </w:rPr>
        <w:t>. By entering into this Agreement, the Placement Agent does not provide any promise, either explicitly or implicitly, of favorable or continued research coverage of the Company and the Company hereby acknowledges and agrees that the Placement Agent’s selection as a placement agent for the Offering was in no way conditioned, explicitly or implicitly, on the Placement Agent providing favorable or any research coverage of the Company. In accordance with FINRA Rule 2241(b)(2), the parties acknowledge and agree that the Placement Agent has not directly or indirectly offered favorable research, a specific rating or a specific price target, or threatened to change research, a rating or a price target, to the Company or inducement for the receipt of business or compensation. The Company hereby waives and releases, to the fullest extent permitted by law, any claims that the Company may have against the Placement Agent with respect to any conflict of interest that may arise from the fact that the views expressed by their independent research analysts and research departments may be different from or inconsistent with the views or advice communicated to the Company by the Placement Agent’s investment banking divisions. The Company acknowledges that the Placement Agent is a full service securities firm and as such from time to time, subject to applicable securities laws, may effect transactions for its own account or the account of their customers and hold long or short position in debt or equity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agrees that for the period commencing on the date hereof and ending on the earlier of the ninetieth (90th) day after the most recent Closing Date and the date upon which all Warrants have been exercised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the Company shall not (i) directly or indirectly issue, offer, sell, grant any option, restricted stock unit or right to purchase, or otherwise dispose of (or announce any issuance, offer, sale, grant of any option or right to purchase or other disposition of) any shares of Common Stock or any Common Stock Equivalents or (ii) file any new registration statement or amendment or supplement thereto, other than the Prospectus, amendments or supplements to registration statements filed prior to the date hereof, or registration statements on Form S-8 in connection with any employee benefit plan or Approved Stock Plan, or a confidential draft registration statement on Form S-1 or Form S-3. Notwithstanding the foregoing, this Section 4(o) shall not apply in respect of the issuance of (collectively, the “</w:t>
      </w:r>
      <w:r>
        <w:rPr>
          <w:rFonts w:ascii="Times New Roman;Times;Serif" w:hAnsi="Times New Roman;Times;Serif"/>
          <w:b w:val="false"/>
          <w:i w:val="false"/>
          <w:caps w:val="false"/>
          <w:smallCaps w:val="false"/>
          <w:sz w:val="20"/>
          <w:u w:val="single"/>
        </w:rPr>
        <w:t>Exempt Issuances</w:t>
      </w:r>
      <w:r>
        <w:rPr>
          <w:rFonts w:ascii="Times New Roman;Times;Serif" w:hAnsi="Times New Roman;Times;Serif"/>
          <w:b w:val="false"/>
          <w:i w:val="false"/>
          <w:caps w:val="false"/>
          <w:smallCaps w:val="false"/>
          <w:sz w:val="20"/>
        </w:rPr>
        <w:t>”) (A) shares of Common Stock or standard options to purchase or restricted stock units to acquire Common Stock to directors, officers, employees or consultants of the Company in their capacity as such pursuant to an Approved Stock Plan; (B) shares of Common Stock issued upon the conversion, exercise or exchange of Convertible Securities (other than standard equity awards to purchase Common Stock issued pursuant to an Approved Stock Plan that are covered by clause (A) above) issued prior to the date hereof, provided that the conversion, exercise, exchange or other method of issuance (as the case may be) of any such Convertible Security is made solely pursuant to the conversion, exercise, exchange or other method of issuance (as the case may be) provisions of such Convertible Security that were in effect on the date immediately prior to the date of this Agreement, the conversion, exercise or issuance price of any such Convertible Securities (other than standard equity awards to purchase Common Stock issued pursuant to an Approved Stock Plan that are covered by clause (A) above) is not lowered, none of such Convertible Securities (other than standard equity awards to purchase Common Stock issued pursuant to an Approved Stock Plan that are covered by clause (A) above) are amended to increase the number of shares issuable thereunder and none of the terms or conditions of any such Convertible Securities (other than standard equity awards to purchase Common Stock issued pursuant to an Approved Stock Plan that are covered by clause (A) above) are otherwise materially changed in any manner that adversely affects any Purchaser; (C) the Shares and the Warrant Shares, and (D) Common Stock or Convertible Securities issued in connection with acquisitions or any licensing, commercialization, joint venture, technology transfer, acquisition, development collaboration or other strategic transactions or institutional investments or partnerships; and shall not apply to the filing of any amendments or supplements to any existing resale registration statements contained in the Public Reports.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From the date hereof until the earlier of six (6) months from the most recent Closing Date and the date as of which the Purchasers no longer hold Securities, acquired pursuant to the Purchase Agreement the Company shall be prohibited from entering into or agreeing to enter into a Variable Rate Transaction. “</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 the market offering”, whereby the Company may issue securities at a future determined price, regardless of whether shares pursuant to such agreement have actually been issued and regardless of whether such agreement is subsequently canceled; provided that Exempt Issuances as provided in Section 4(o)(i) above shall not be considered Variable Rate Transactions. Any Purchaser shall be entitled to obtain injunctive relief against the Company to preclude any such issuance, which remedy shall be in addition to any right to collect damages.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The Company shall advise the Placement Agent (who shall make an appropriate filing with FINRA) if it is aware that any officer, director, 10% or greater shareholder of the Company or Person that received the Company’s unregistered equity securities in the past 180 days is or becomes an affiliate or associated person of a FINRA member firm prior to the earlier of the termination of this Agreement or the 60-day period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 Conditions of the Obligations of the Placement Agent. </w:t>
      </w:r>
      <w:r>
        <w:rPr>
          <w:rFonts w:ascii="Times New Roman;Times;Serif" w:hAnsi="Times New Roman;Times;Serif"/>
          <w:b w:val="false"/>
          <w:i w:val="false"/>
          <w:caps w:val="false"/>
          <w:smallCaps w:val="false"/>
          <w:sz w:val="20"/>
        </w:rPr>
        <w:t>The obligations of the Placement Agent hereunder shall be subject to the accuracy of the representations and warranties on the part of the Company set forth in Section 2 hereof, in each case as of the date hereof and as of each Closing Date, as applicable, as though then made, to the timely performance by the Company of its covenants and other obligations hereunder on and as of such dates, and to each of the following additional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Accountants’ Comfort Letter</w:t>
      </w:r>
      <w:r>
        <w:rPr>
          <w:rFonts w:ascii="Times New Roman;Times;Serif" w:hAnsi="Times New Roman;Times;Serif"/>
          <w:b w:val="false"/>
          <w:i w:val="false"/>
          <w:caps w:val="false"/>
          <w:smallCaps w:val="false"/>
          <w:sz w:val="20"/>
        </w:rPr>
        <w:t>. On the date hereof, the Placement Agent shall have received, and the Company shall have caused to be delivered to the Placement Agent, a letter from Rosenberg Rich Baker Berman, P.A. (the independent registered public accounting firm of the Company), addressed to the Placement Agent, dated as of the date hereof, in form and substance satisfactory to the Placement Agent. The letter shall not disclose any change in the condition (financial or other), earnings, operations, business or prospects of the Company from that set forth in any Incorporated Documents or the applicable Prospectus or prospectus supplement, which, in the Placement Agent’s reasonable judgment, is material and adverse and that makes it, in the Placement Agent’s reasonable judgment, impracticable or inadvisable to proceed with the Offering of the Securities as contemplated by such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Compliance with Registration Requirements; No Stop Order; No Objection from FINRA</w:t>
      </w:r>
      <w:r>
        <w:rPr>
          <w:rFonts w:ascii="Times New Roman;Times;Serif" w:hAnsi="Times New Roman;Times;Serif"/>
          <w:b w:val="false"/>
          <w:i w:val="false"/>
          <w:caps w:val="false"/>
          <w:smallCaps w:val="false"/>
          <w:sz w:val="20"/>
        </w:rPr>
        <w:t>. Each Prospectus (in accordance with Rule 424(b)) and “free writing prospectus” (as defined in Rule 405 of the Securities Act), if any, shall have been duly filed with the Commission, as appropriate; no stop order suspending the effectiveness of the Registration Statement or any part thereof shall have been issued and no proceeding for that purpose shall have been initiated or threatened by the Commission; no order preventing or suspending the use of any Prospectus shall have been issued and no proceeding for that purpose shall have been initiated or threatened by the Commission; no order having the effect of ceasing or suspending the distribution of the Securities or any other securities of the Company shall have been issued by any securities commission, securities regulatory authority or stock exchange and no proceedings for that purpose shall have been instituted or shall be pending or, to the knowledge of the Company, contemplated by any securities commission, securities regulatory authority or stock exchange; all requests for additional information on the part of the Commission shall have been complied with; and the FINRA shall have raised no objection to the fairness and reasonableness of the placement terms and arrangements.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Corporate Proceedings</w:t>
      </w:r>
      <w:r>
        <w:rPr>
          <w:rFonts w:ascii="Times New Roman;Times;Serif" w:hAnsi="Times New Roman;Times;Serif"/>
          <w:b w:val="false"/>
          <w:i w:val="false"/>
          <w:caps w:val="false"/>
          <w:smallCaps w:val="false"/>
          <w:sz w:val="20"/>
        </w:rPr>
        <w:t>. All corporate proceedings and other legal matters in connection with this Agreement, the Registration Statement and each Prospectus, and the registration, sale and delivery of the Securities, shall have been completed or resolved in a manner reasonably satisfactory to the Placement Agent’s Counsel, and such counsel shall have been furnished with such papers and information as it may reasonably have requested to enable such counsel to pass upon the matters referred to in this Section 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Subsequent to the execution and delivery of this Agreement and prior to each Closing Date, as applicable, in the Placement Agent’s reasonable judgment after consultation with the Company, there shall not have occurred any Material Adverse Effect or any material adverse change or development involving a prospective material adverse change in the condition or the business activities, financial or otherwise, of the Company from the latest dates as of which such condition is set forth in the Registration Statement and Prospectus (“</w:t>
      </w:r>
      <w:r>
        <w:rPr>
          <w:rFonts w:ascii="Times New Roman;Times;Serif" w:hAnsi="Times New Roman;Times;Serif"/>
          <w:b w:val="false"/>
          <w:i w:val="false"/>
          <w:caps w:val="false"/>
          <w:smallCaps w:val="false"/>
          <w:sz w:val="20"/>
          <w:u w:val="single"/>
        </w:rPr>
        <w:t>Material Adverse 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Opinion of Company Counsel for the Company</w:t>
      </w:r>
      <w:r>
        <w:rPr>
          <w:rFonts w:ascii="Times New Roman;Times;Serif" w:hAnsi="Times New Roman;Times;Serif"/>
          <w:b w:val="false"/>
          <w:i w:val="false"/>
          <w:caps w:val="false"/>
          <w:smallCaps w:val="false"/>
          <w:sz w:val="20"/>
        </w:rPr>
        <w:t>. The Placement Agent shall have received on each Closing Date, as applicable, the favorable opinion of Company Counsel, Paul Hastings LLP, dated as of such Closing Date, including, without limitation, a negative assurance letter addressed to the Placement Agent and in form and substance reasonably satisfactory to the Placement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The Placement Agent shall have received on each Closing Date a certificate of the Company, dated as of such Closing Date, signed by the Chief Executive Officer and Chief Financial Officer of the Company, to the effect that, and the Placement Agent shall be satisfied that, the signers of such certificate have reviewed the Registration Statement, the Incorporated Documents, the Prospectus, and this Agreement and to the further effect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in this Agreement are true and correct, as if made on and as of such Closing Date, and the Company has complied with all the agreements and satisfied all the conditions on its part to be performed or satisfied at or prior to such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suspending the effectiveness of the Registration Statement or the use of the Prospectus has been issued and no proceedings for that purpose have been instituted or are pending or, to the Company’s knowledge, threatened under the Securities Act; no order having the effect of ceasing or suspending the distribution of the Securities or any other securities of the Company has been issued by any securities commission, securities regulatory authority or stock exchange in the United States and no proceedings for that purpose have been instituted or are pending or, to the knowledge of the Company, contemplated by any securities commission, securities regulatory authority or stock exchange in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When the Registration Statement became effective, at the time of sale, and at all times subsequent thereto up to the delivery of such certificate, the Registration Statement and the Incorporated Documents, if any, when such documents became effective or were filed with the Commission, and any Prospectus, contained all material information required to be included therein by the Securities Act and the Exchange Act and the applicable rules and regulations of the Commission thereunder, as the case may be, and in all material respects conformed to the requirements of the Securities Act and the Exchange Act and the applicable rules and regulations of the Commission thereunder, as the case may be, and the Registration Statement and the Incorporated Documents, if any, and any Prospectus, did not and do not include any untrue statement of a material fact or omit to state a material fact required to be stated therein or necessary to make the statements therein, in the light of the circumstances under which they were made, not misleading (provided, however, that the preceding representations and warranties contained in this paragraph (iii) shall not apply to any statements or omissions made in reliance upon and in conformity with information furnished in writing to the Company by the Placement Agent expressly for use therein) and, since the effective date of the Registration Statement, there has occurred no event required by the Securities Act and the rules and regulations of the Commission thereunder to be set forth in the Incorporated Documents which has not been so set forth;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Subsequent to the respective dates as of which information is given in the Registration Statement, the Incorporated Documents and any Prospectus, there has not been: (a) any Material Adverse Change; (b) any transaction that is material to the Company and the Subsidiaries taken as a whole, except transactions entered into in the ordinary course of business; (c) any obligation, direct or contingent, that is material to the Company and the Subsidiaries taken as a whole, incurred by the Company or any Subsidiary, except obligations incurred in the ordinary course of business; (d) any material change in the capital stock (except changes thereto resulting from the exercise of outstanding stock options or warrants, or outstanding indebtedness of the Company or any Subsidiary); (e) any dividend or distribution of any kind declared, paid or made on the capital stock of the Company; or (f) any loss or damage (whether or not insured) to the property of the Company or any Subsidiary which has been sustained or will have been sustained which has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Bring</w:t>
      </w:r>
      <w:r>
        <w:rPr>
          <w:rFonts w:ascii="Times New Roman;Times;Serif" w:hAnsi="Times New Roman;Times;Serif"/>
          <w:b w:val="false"/>
          <w:i w:val="false"/>
          <w:caps w:val="false"/>
          <w:smallCaps w:val="false"/>
          <w:sz w:val="20"/>
          <w:u w:val="single"/>
        </w:rPr>
        <w:t>-down Comfort Letter</w:t>
      </w:r>
      <w:r>
        <w:rPr>
          <w:rFonts w:ascii="Times New Roman;Times;Serif" w:hAnsi="Times New Roman;Times;Serif"/>
          <w:b w:val="false"/>
          <w:i w:val="false"/>
          <w:caps w:val="false"/>
          <w:smallCaps w:val="false"/>
          <w:sz w:val="20"/>
        </w:rPr>
        <w:t>. On each Closing Date, the Placement Agent shall have received from Rosenberg Rich Baker Berman, P.A. (the independent registered public accounting firm of the Company), a letter dated as of such Closing Date, in form and substance satisfactory to the Placement Agent, to the effect that they reaffirm the statements made in the letter furnished pursuant to subsection (a) of this Section 5, except that the specified date referred to therein for the carrying out of procedures shall be no more than three business days prior to such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On the date hereof, the Placement Agent shall have received the executed lock-up agreement from each of the Company’s directors and executive officers and 10% and greater stockholders of the Company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Stock Exchange Listing</w:t>
      </w:r>
      <w:r>
        <w:rPr>
          <w:rFonts w:ascii="Times New Roman;Times;Serif" w:hAnsi="Times New Roman;Times;Serif"/>
          <w:b w:val="false"/>
          <w:i w:val="false"/>
          <w:caps w:val="false"/>
          <w:smallCaps w:val="false"/>
          <w:sz w:val="20"/>
        </w:rPr>
        <w:t>. The Common Stock shall be registered under the Exchange Act and shall be listed on the Trading Market, and the Company shall not have taken any action designed to terminate, or likely to have the effect of terminating, the registration of the Common Stock under the Exchange Act or delisting or suspending from trading the Common Stock from the Trading Market, nor shall the Company have received any information suggesting that the Commission or the Trading Market is contemplating terminating such registration or listing.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Additional Documents</w:t>
      </w:r>
      <w:r>
        <w:rPr>
          <w:rFonts w:ascii="Times New Roman;Times;Serif" w:hAnsi="Times New Roman;Times;Serif"/>
          <w:b w:val="false"/>
          <w:i w:val="false"/>
          <w:caps w:val="false"/>
          <w:smallCaps w:val="false"/>
          <w:sz w:val="20"/>
        </w:rPr>
        <w:t>. On or before each Closing Date, as applicable, the Placement Agent and Placement Agent’s Counsel shall have received such information and documents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5 is not satisfied when and as required to be satisfied, this Agreement may be terminated by the Placement Agent by notice to the Company at any time on or prior to a Closing Date, as applicable, which termination shall be without liability on the part of any party to any other party, except that Section 6 (Payment of Expenses), Section 7 (Indemnification and Contribution) and Section 8 (Representations and Indemnities to Survive Delivery)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 Payment of Expenses. </w:t>
      </w:r>
      <w:r>
        <w:rPr>
          <w:rFonts w:ascii="Times New Roman;Times;Serif" w:hAnsi="Times New Roman;Times;Serif"/>
          <w:b w:val="false"/>
          <w:i w:val="false"/>
          <w:caps w:val="false"/>
          <w:smallCaps w:val="false"/>
          <w:sz w:val="20"/>
        </w:rPr>
        <w:t>The Company agrees to pay all costs, fees and expenses incurred by the Company in connection with the performance of its obligations hereunder and in connection with the transactions contemplated hereby, including, without limitation: (i) all expenses incident to the issuance, delivery and qualification of the Securities (including all printing and engraving costs); (ii) all fees and expenses of the registrar and transfer agent of the Common Stock; (iii) all necessary issue, transfer and other stamp taxes in connection with the issuance and sale of the Securities;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Preliminary Prospectus, the Prospectus and each prospectus supplement, if any, and all amendments and supplements thereto, and this Agreement; (vi) all filing fees, disbursements, reasonable attorneys’ fees and expenses incurred by the Company or the Placement Agent in connection with qualifying or registering (or obtaining exemptions from the qualification or registration of) all or any part of the Securities for offer and sale under the state securities or blue sky laws or the securities laws of any other country, and, if requested by the Placement Agent, preparing and printing a “</w:t>
      </w:r>
      <w:r>
        <w:rPr>
          <w:rFonts w:ascii="Times New Roman;Times;Serif" w:hAnsi="Times New Roman;Times;Serif"/>
          <w:b w:val="false"/>
          <w:i w:val="false"/>
          <w:caps w:val="false"/>
          <w:smallCaps w:val="false"/>
          <w:sz w:val="20"/>
          <w:u w:val="single"/>
        </w:rPr>
        <w:t>Blue Sky Survey</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International Blue Sky Survey</w:t>
      </w:r>
      <w:r>
        <w:rPr>
          <w:rFonts w:ascii="Times New Roman;Times;Serif" w:hAnsi="Times New Roman;Times;Serif"/>
          <w:b w:val="false"/>
          <w:i w:val="false"/>
          <w:caps w:val="false"/>
          <w:smallCaps w:val="false"/>
          <w:sz w:val="20"/>
        </w:rPr>
        <w:t xml:space="preserve">” or other memorandum, and any supplements thereto, advising the Placement Agent of such qualifications, registrations and exemptions, it being agreed that such fees and expenses will be limited to $5,000 to such counsel upon commencement of “blue sky” work and an additional $5,000 to such counsel at Closing; (vii) if applicable, the filing fees incident to the review and approval by the FINRA of the Placement Agent’s participation in the offering and distribution of the Securities; (viii) the fees and expenses associated with including the Shares and Warrant Shares on the Trading Market, including any fees charged by The Depository Trust Company for new securities; (ix) all costs and expenses incident to the travel and accommodation of the Company’s and the Placement Agent’s employees on the “roadshow,” if any,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the aggregate expense reimbursement payable to the Placement Agent is subject to a cap of $5,000; (x) all fees, expenses and disbursements relating to background checks of the Company’s officers, directors and entities in an amount not to exceed $15,000 in the aggregate; and (xi) all other fees, costs and expenses referred to in Section 7 of the Engagement Agreement and Part II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the Placement Agent its affiliates and each person controlling the Placement Agent (within the meaning of Section 15 of the Securities Act), and the directors, officers, agents and employees of the Placement Agent its affiliates and each such controlling person (the Placement Agent, and each such entity or person. an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from and against any losses, claims, damages, judgments, assessments, costs and other liabilities (collectively, the “</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xml:space="preserve">”), and shall reimburse each Indemnified Person for all fees and expenses (including the reasonable fees and expenses of one counsel for all Indemnified Persons, except as otherwise expressly provided herein) (collectively, the “Expenses”) as they are incurred by an Indemnified Person in investigating, preparing, pursuing or defending any actions, whether or not any Indemnified Person is a party thereto, (i) caused by, or arising out of or in connection with, any untrue statement or alleged untrue statement of a material fact contained in the Registration Statement, any Incorporated Document, or any Prospectus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the Incorporated Documents) or (ii) otherwise arising out of or in connection with advice or services rendered or to be rendered by any Indemnified Person pursuant to this Agreement, the transactions contemplated thereby or any Indemnified Person’s actions or inactions in connection with any such advice, services or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clause (ii) only, the Company shall not be responsible for any Liabilities or Expenses of any Indemnified Person that are finally judicially determined to have resulted from such Indemnified Person’s (x) gross negligence or willful misconduct in connection with any of the advice, actions, inactions or services referred to above or (y) use of any offering materials or information concerning the Company in connection with the offer or sale of the Securities in the Offering which were not authorized for such use by the Company and which use constitutes gross negligence or willful misconduct. The Company also agrees to reimburse each Indemnified Person for all Expenses as they are incurred in connection with enforcing such Indemnified Person’s rights under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receipt by an Indemnified Person of actual notice of an action against such Indemnified Person with respect to which indemnity may be sought under this Agreement, such Indemnified Person shall promptly notify the Company in writing; provided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the Placement Agent, assume the defense of any such action including the employment of counsel reasonably satisfactory to the Placement Agent, which counsel may also be counsel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action (including any impeded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provided that the Company shall not in such event be responsible hereunder for the fees and expenses of more than one firm of separate counsel for all Indemnified Persons in connection with any action or related actions, in addition to any local counsel. The Company shall not be liable for any settlement of any action effected without its written consent (which shall not be unreasonably withheld). In addition, the Company shall not, without the prior written consent of the Placement Agent (which shall not be unreasonably withheld), settle, compromise or consent to the entry of any judgment in or otherwise seek to terminate any pending or threatened action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action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For purposes of this paragraph, the relative benefits to the Company, on the one hand, and to the Placement Agent on the other hand, of the matters contemplated by this Agreement shall be deemed to be in the same proportion as (a) the total value paid or contemplated to be paid to or received or contemplated to be received by the Company in the transaction or transactions that are within the scope of this Agreement, whether or not any such transaction is consummated, bears to (b) the fees paid to the Placement Agent under this Agreement. Notwithstanding the above, no person guilty of fraudulent misrepresentation within the meaning of Section 11(f) of the Securities Act, as amended, shall be entitled to contribution from a party who was not guilty of fraudulent misrepresentation.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from such Indemnified Person’s gross negligence or willful misconduct in connection with any such advice, actions, inactions or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 Representations and Indemnities to Survive Delivery. </w:t>
      </w:r>
      <w:r>
        <w:rPr>
          <w:rFonts w:ascii="Times New Roman;Times;Serif" w:hAnsi="Times New Roman;Times;Serif"/>
          <w:b w:val="false"/>
          <w:i w:val="false"/>
          <w:caps w:val="false"/>
          <w:smallCaps w:val="false"/>
          <w:sz w:val="20"/>
        </w:rPr>
        <w:t>The respective indemnities, agreements, representations, warranties and other 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partners, officers or directors or any controlling person, as the case may be, and will survive delivery of and payment for the Securities sold hereunder and any termination of this Agreement. A successor to a Placement Agent, or to the Company, its directors or officers or any person controlling the Company, shall be entitled to the benefits of the indemnity, contribution and reimbursement agreements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 Notices. </w:t>
      </w:r>
      <w:r>
        <w:rPr>
          <w:rFonts w:ascii="Times New Roman;Times;Serif" w:hAnsi="Times New Roman;Times;Serif"/>
          <w:b w:val="false"/>
          <w:i w:val="false"/>
          <w:caps w:val="false"/>
          <w:smallCaps w:val="false"/>
          <w:sz w:val="20"/>
        </w:rPr>
        <w:t>All communications hereunder shall be in writing and shall be mailed, hand delivered or e-mailed and confirmed to the parties hereto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RXR Plaza, Uniondale, NY 11556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Placement Agent to the addresses set forth above, attention: Stephan A, Stein, President, email: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Pryor Cashman LLP</w:t>
        <w:br/>
        <w:t>7 Times Square, New York, New York 10036-6569</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VivoSim Labs,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11555 Sorrento Valley Road, Suite 100</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 92121</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Keith Murphy, Executive Chairman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Hastings LLP</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 California Ave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 CA 94304</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Jeff Hartlin; Samantha Eldredge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 Successors. </w:t>
      </w:r>
      <w:r>
        <w:rPr>
          <w:rFonts w:ascii="Times New Roman;Times;Serif" w:hAnsi="Times New Roman;Times;Serif"/>
          <w:b w:val="false"/>
          <w:i w:val="false"/>
          <w:caps w:val="false"/>
          <w:smallCaps w:val="false"/>
          <w:sz w:val="20"/>
        </w:rPr>
        <w:t>This Agreement will inure to the benefit of and be binding upon the parties hereto, and to the benefit of the employees, officers and directors and controlling persons referred to in Section 7 hereof, and to their respective successors, and personal representatives, and no other person will have any right or obligation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 Partial Unenforceability. </w:t>
      </w:r>
      <w:r>
        <w:rPr>
          <w:rFonts w:ascii="Times New Roman;Times;Serif" w:hAnsi="Times New Roman;Times;Serif"/>
          <w:b w:val="false"/>
          <w:i w:val="false"/>
          <w:caps w:val="false"/>
          <w:smallCaps w:val="false"/>
          <w:sz w:val="20"/>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 Governing Law Provisions. </w:t>
      </w:r>
      <w:r>
        <w:rPr>
          <w:rFonts w:ascii="Times New Roman;Times;Serif" w:hAnsi="Times New Roman;Times;Serif"/>
          <w:b w:val="false"/>
          <w:i w:val="false"/>
          <w:caps w:val="false"/>
          <w:smallCaps w:val="false"/>
          <w:sz w:val="20"/>
        </w:rPr>
        <w:t>This Agreement shall be deemed to have been made and delivered in New York City and both this Agreement and the transactions contemplated hereby shall be governed as to validity, interpretation, construction, effect and in all other respects by the internal laws of the State of New York, without regard to the conflicts of laws principles thereof. Each of the Placement Agent and the Company: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 Each of the Placement Agent and the Company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Placement Agent mailed by certified mail to the Placement Agent’s address shall be deemed in every respect effective service process upon the Placement Agent, in any such suit, action or proceeding. If either party shall commence an action or proceeding to enforce any provisions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General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constitutes the entire agreement of the parties to this Agreement and supersedes all prior written or oral and all contemporaneous oral agreements, understandings and negotiations with respect to the subject matter hereof. Notwithstanding anything herein to the contrary, the Engagement Agreement, dated February 17, 2026 (the “</w:t>
      </w:r>
      <w:r>
        <w:rPr>
          <w:rFonts w:ascii="Times New Roman;Times;Serif" w:hAnsi="Times New Roman;Times;Serif"/>
          <w:b w:val="false"/>
          <w:i w:val="false"/>
          <w:caps w:val="false"/>
          <w:smallCaps w:val="false"/>
          <w:sz w:val="20"/>
          <w:u w:val="single"/>
        </w:rPr>
        <w:t>Engagement Agreement</w:t>
      </w:r>
      <w:r>
        <w:rPr>
          <w:rFonts w:ascii="Times New Roman;Times;Serif" w:hAnsi="Times New Roman;Times;Serif"/>
          <w:b w:val="false"/>
          <w:i w:val="false"/>
          <w:caps w:val="false"/>
          <w:smallCaps w:val="false"/>
          <w:sz w:val="20"/>
        </w:rPr>
        <w:t>”), by and between the Company and the Placement Agent shall continue to be effective and the terms therein shall continue to survive and be enforceable by the Placement Agent in accordance with its terms, including but not limited to the Tail (as defined in the Engagement Agreement) in Section 4 and the Participation Right (as defined in the Engagement Agreement) in Section 15, provided that, in the event of a conflict between the terms of the Engagement Agreement and this Agreement, the terms of this Agreement shall prevail.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acknowledges that in connection with the offering of the Securities: (i) the Placement Agent’s responsibility to the Company is solely contractual and commercial in nature, (ii) the Placement Agent have acted at arms length, are not agents of, and owe no fiduciary duties to the Company or any other person, (iii) the Placement Agent owe the Company only those duties and obligations set forth in this Agreement and (iv) the Placement Agent may have interests that differ from those of the Company. The Company waives to the fullest extent permitted by applicable law any claims it may have against the Placement Agent arising from any breach or alleged breach of fiduciary duty in connection with the offering of the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has been intentionally left blank</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below whereupon this instrument, along with all counterparts hereof, shall become a binding agreement in accordance with its terms.</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72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65"/>
        <w:gridCol w:w="1955"/>
        <w:gridCol w:w="75"/>
      </w:tblGrid>
      <w:tr>
        <w:trPr/>
        <w:tc>
          <w:tcPr>
            <w:tcW w:w="2620" w:type="dxa"/>
            <w:gridSpan w:val="2"/>
            <w:tcBorders/>
            <w:vAlign w:val="center"/>
          </w:tcPr>
          <w:p>
            <w:pPr>
              <w:pStyle w:val="TableContents"/>
              <w:bidi w:val="0"/>
              <w:spacing w:before="0" w:after="283"/>
              <w:ind w:left="0" w:right="0" w:hanging="0"/>
              <w:jc w:val="left"/>
              <w:rPr>
                <w:b/>
              </w:rPr>
            </w:pPr>
            <w:r>
              <w:rPr>
                <w:b/>
              </w:rPr>
              <w:t>VIVOSIM LABS, INC.</w:t>
            </w:r>
          </w:p>
        </w:tc>
        <w:tc>
          <w:tcPr>
            <w:tcW w:w="75" w:type="dxa"/>
            <w:tcBorders/>
            <w:vAlign w:val="center"/>
          </w:tcPr>
          <w:p>
            <w:pPr>
              <w:pStyle w:val="TableContents"/>
              <w:bidi w:val="0"/>
              <w:spacing w:before="0" w:after="283"/>
              <w:ind w:left="0" w:right="0" w:hanging="0"/>
              <w:jc w:val="left"/>
              <w:rPr/>
            </w:pPr>
            <w:r>
              <w:rPr/>
              <w:t> </w:t>
            </w:r>
          </w:p>
        </w:tc>
      </w:tr>
      <w:tr>
        <w:trPr/>
        <w:tc>
          <w:tcPr>
            <w:tcW w:w="2620" w:type="dxa"/>
            <w:gridSpan w:val="2"/>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665" w:type="dxa"/>
            <w:tcBorders/>
            <w:vAlign w:val="center"/>
          </w:tcPr>
          <w:p>
            <w:pPr>
              <w:pStyle w:val="TableContents"/>
              <w:bidi w:val="0"/>
              <w:spacing w:before="0" w:after="283"/>
              <w:ind w:left="0" w:right="0" w:hanging="0"/>
              <w:jc w:val="left"/>
              <w:rPr/>
            </w:pPr>
            <w:r>
              <w:rPr/>
              <w:t>By:</w:t>
            </w:r>
          </w:p>
        </w:tc>
        <w:tc>
          <w:tcPr>
            <w:tcW w:w="1955"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665" w:type="dxa"/>
            <w:tcBorders/>
            <w:vAlign w:val="center"/>
          </w:tcPr>
          <w:p>
            <w:pPr>
              <w:pStyle w:val="TableContents"/>
              <w:bidi w:val="0"/>
              <w:spacing w:before="0" w:after="283"/>
              <w:ind w:left="0" w:right="0" w:hanging="0"/>
              <w:jc w:val="left"/>
              <w:rPr/>
            </w:pPr>
            <w:r>
              <w:rPr/>
              <w:t>Name:</w:t>
            </w:r>
          </w:p>
        </w:tc>
        <w:tc>
          <w:tcPr>
            <w:tcW w:w="1955" w:type="dxa"/>
            <w:tcBorders/>
            <w:vAlign w:val="center"/>
          </w:tcPr>
          <w:p>
            <w:pPr>
              <w:pStyle w:val="TableContents"/>
              <w:bidi w:val="0"/>
              <w:spacing w:before="0" w:after="283"/>
              <w:ind w:left="0" w:right="0" w:hanging="0"/>
              <w:jc w:val="left"/>
              <w:rPr/>
            </w:pPr>
            <w:r>
              <w:rPr/>
              <w:t>Keith Murphy</w:t>
            </w:r>
          </w:p>
        </w:tc>
        <w:tc>
          <w:tcPr>
            <w:tcW w:w="75" w:type="dxa"/>
            <w:tcBorders/>
            <w:vAlign w:val="center"/>
          </w:tcPr>
          <w:p>
            <w:pPr>
              <w:pStyle w:val="TableContents"/>
              <w:bidi w:val="0"/>
              <w:spacing w:before="0" w:after="283"/>
              <w:ind w:left="0" w:right="0" w:hanging="0"/>
              <w:jc w:val="left"/>
              <w:rPr/>
            </w:pPr>
            <w:r>
              <w:rPr/>
              <w:t> </w:t>
            </w:r>
          </w:p>
        </w:tc>
      </w:tr>
      <w:tr>
        <w:trPr/>
        <w:tc>
          <w:tcPr>
            <w:tcW w:w="665" w:type="dxa"/>
            <w:tcBorders/>
            <w:vAlign w:val="center"/>
          </w:tcPr>
          <w:p>
            <w:pPr>
              <w:pStyle w:val="TableContents"/>
              <w:bidi w:val="0"/>
              <w:spacing w:before="0" w:after="283"/>
              <w:ind w:left="0" w:right="0" w:hanging="0"/>
              <w:jc w:val="left"/>
              <w:rPr/>
            </w:pPr>
            <w:r>
              <w:rPr/>
              <w:t>Title:</w:t>
            </w:r>
          </w:p>
        </w:tc>
        <w:tc>
          <w:tcPr>
            <w:tcW w:w="1955" w:type="dxa"/>
            <w:tcBorders/>
            <w:vAlign w:val="center"/>
          </w:tcPr>
          <w:p>
            <w:pPr>
              <w:pStyle w:val="TableContents"/>
              <w:bidi w:val="0"/>
              <w:spacing w:before="0" w:after="283"/>
              <w:ind w:left="0" w:right="0" w:hanging="0"/>
              <w:jc w:val="left"/>
              <w:rPr/>
            </w:pPr>
            <w:r>
              <w:rPr/>
              <w:t>Executive Chairman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Placement Agency Agreement is hereby confirmed and accepted as of the date first above written.</w:t>
      </w:r>
    </w:p>
    <w:p>
      <w:pPr>
        <w:pStyle w:val="TextBody"/>
        <w:bidi w:val="0"/>
        <w:spacing w:before="0" w:after="0"/>
        <w:ind w:left="0" w:right="0" w:hanging="720"/>
        <w:jc w:val="left"/>
        <w:rPr>
          <w:caps w:val="false"/>
          <w:smallCaps w:val="false"/>
        </w:rPr>
      </w:pPr>
      <w:r>
        <w:rPr>
          <w:caps w:val="false"/>
          <w:smallCaps w:val="false"/>
        </w:rPr>
        <w:t> </w:t>
      </w:r>
    </w:p>
    <w:tbl>
      <w:tblPr>
        <w:tblW w:w="3544" w:type="dxa"/>
        <w:jc w:val="left"/>
        <w:tblInd w:w="0" w:type="dxa"/>
        <w:tblLayout w:type="fixed"/>
        <w:tblCellMar>
          <w:top w:w="0" w:type="dxa"/>
          <w:left w:w="0" w:type="dxa"/>
          <w:bottom w:w="0" w:type="dxa"/>
          <w:right w:w="0" w:type="dxa"/>
        </w:tblCellMar>
      </w:tblPr>
      <w:tblGrid>
        <w:gridCol w:w="75"/>
        <w:gridCol w:w="984"/>
        <w:gridCol w:w="2485"/>
      </w:tblGrid>
      <w:tr>
        <w:trPr/>
        <w:tc>
          <w:tcPr>
            <w:tcW w:w="75" w:type="dxa"/>
            <w:tcBorders/>
            <w:vAlign w:val="center"/>
          </w:tcPr>
          <w:p>
            <w:pPr>
              <w:pStyle w:val="TableContents"/>
              <w:bidi w:val="0"/>
              <w:spacing w:before="0" w:after="283"/>
              <w:ind w:left="0" w:right="0" w:hanging="0"/>
              <w:jc w:val="left"/>
              <w:rPr/>
            </w:pPr>
            <w:r>
              <w:rPr/>
              <w:t> </w:t>
            </w:r>
          </w:p>
        </w:tc>
        <w:tc>
          <w:tcPr>
            <w:tcW w:w="3469" w:type="dxa"/>
            <w:gridSpan w:val="2"/>
            <w:tcBorders/>
            <w:vAlign w:val="center"/>
          </w:tcPr>
          <w:p>
            <w:pPr>
              <w:pStyle w:val="TableContents"/>
              <w:bidi w:val="0"/>
              <w:spacing w:before="0" w:after="283"/>
              <w:ind w:left="0" w:right="0" w:hanging="0"/>
              <w:jc w:val="left"/>
              <w:rPr>
                <w:b/>
              </w:rPr>
            </w:pPr>
            <w:r>
              <w:rPr>
                <w:b/>
              </w:rPr>
              <w:t>JOSEPH GUNNAR &amp; CO., LLC</w:t>
            </w:r>
          </w:p>
        </w:tc>
      </w:tr>
      <w:tr>
        <w:trPr/>
        <w:tc>
          <w:tcPr>
            <w:tcW w:w="75" w:type="dxa"/>
            <w:tcBorders/>
            <w:vAlign w:val="center"/>
          </w:tcPr>
          <w:p>
            <w:pPr>
              <w:pStyle w:val="TableContents"/>
              <w:bidi w:val="0"/>
              <w:spacing w:before="0" w:after="283"/>
              <w:ind w:left="0" w:right="0" w:hanging="0"/>
              <w:jc w:val="left"/>
              <w:rPr/>
            </w:pPr>
            <w:r>
              <w:rPr/>
              <w:t> </w:t>
            </w:r>
          </w:p>
        </w:tc>
        <w:tc>
          <w:tcPr>
            <w:tcW w:w="984" w:type="dxa"/>
            <w:tcBorders/>
            <w:vAlign w:val="center"/>
          </w:tcPr>
          <w:p>
            <w:pPr>
              <w:pStyle w:val="TableContents"/>
              <w:bidi w:val="0"/>
              <w:spacing w:before="0" w:after="283"/>
              <w:ind w:left="0" w:right="0" w:hanging="0"/>
              <w:jc w:val="left"/>
              <w:rPr/>
            </w:pPr>
            <w:r>
              <w:rPr/>
              <w:t> </w:t>
            </w:r>
          </w:p>
        </w:tc>
        <w:tc>
          <w:tcPr>
            <w:tcW w:w="248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984" w:type="dxa"/>
            <w:tcBorders/>
            <w:vAlign w:val="center"/>
          </w:tcPr>
          <w:p>
            <w:pPr>
              <w:pStyle w:val="TableContents"/>
              <w:bidi w:val="0"/>
              <w:spacing w:before="0" w:after="283"/>
              <w:ind w:left="0" w:right="0" w:hanging="0"/>
              <w:jc w:val="left"/>
              <w:rPr/>
            </w:pPr>
            <w:r>
              <w:rPr/>
              <w:t>By:</w:t>
            </w:r>
          </w:p>
        </w:tc>
        <w:tc>
          <w:tcPr>
            <w:tcW w:w="2485" w:type="dxa"/>
            <w:tcBorders>
              <w:bottom w:val="single" w:sz="12" w:space="0" w:color="000000"/>
            </w:tcBorders>
            <w:tcMar>
              <w:bottom w:w="28" w:type="dxa"/>
            </w:tcMar>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984" w:type="dxa"/>
            <w:tcBorders/>
            <w:vAlign w:val="center"/>
          </w:tcPr>
          <w:p>
            <w:pPr>
              <w:pStyle w:val="TableContents"/>
              <w:bidi w:val="0"/>
              <w:spacing w:before="0" w:after="283"/>
              <w:ind w:left="0" w:right="0" w:hanging="0"/>
              <w:jc w:val="left"/>
              <w:rPr/>
            </w:pPr>
            <w:r>
              <w:rPr/>
              <w:t>Name:</w:t>
            </w:r>
          </w:p>
        </w:tc>
        <w:tc>
          <w:tcPr>
            <w:tcW w:w="2485" w:type="dxa"/>
            <w:tcBorders/>
            <w:vAlign w:val="center"/>
          </w:tcPr>
          <w:p>
            <w:pPr>
              <w:pStyle w:val="TableContents"/>
              <w:bidi w:val="0"/>
              <w:spacing w:before="0" w:after="283"/>
              <w:ind w:left="0" w:right="0" w:hanging="0"/>
              <w:jc w:val="left"/>
              <w:rPr/>
            </w:pPr>
            <w:r>
              <w:rPr/>
              <w:t>Stephan A. Stein</w:t>
            </w:r>
          </w:p>
        </w:tc>
      </w:tr>
      <w:tr>
        <w:trPr/>
        <w:tc>
          <w:tcPr>
            <w:tcW w:w="75" w:type="dxa"/>
            <w:tcBorders/>
            <w:vAlign w:val="center"/>
          </w:tcPr>
          <w:p>
            <w:pPr>
              <w:pStyle w:val="TableContents"/>
              <w:bidi w:val="0"/>
              <w:spacing w:before="0" w:after="283"/>
              <w:ind w:left="0" w:right="0" w:hanging="0"/>
              <w:jc w:val="left"/>
              <w:rPr/>
            </w:pPr>
            <w:r>
              <w:rPr/>
              <w:t> </w:t>
            </w:r>
          </w:p>
        </w:tc>
        <w:tc>
          <w:tcPr>
            <w:tcW w:w="984" w:type="dxa"/>
            <w:tcBorders/>
            <w:vAlign w:val="center"/>
          </w:tcPr>
          <w:p>
            <w:pPr>
              <w:pStyle w:val="TableContents"/>
              <w:bidi w:val="0"/>
              <w:spacing w:before="0" w:after="283"/>
              <w:ind w:left="0" w:right="0" w:hanging="0"/>
              <w:jc w:val="left"/>
              <w:rPr/>
            </w:pPr>
            <w:r>
              <w:rPr/>
              <w:t>Title:</w:t>
            </w:r>
          </w:p>
        </w:tc>
        <w:tc>
          <w:tcPr>
            <w:tcW w:w="2485" w:type="dxa"/>
            <w:tcBorders/>
            <w:vAlign w:val="center"/>
          </w:tcPr>
          <w:p>
            <w:pPr>
              <w:pStyle w:val="TableContents"/>
              <w:bidi w:val="0"/>
              <w:spacing w:before="0" w:after="283"/>
              <w:jc w:val="left"/>
              <w:rPr/>
            </w:pPr>
            <w:r>
              <w:rPr/>
              <w:t>President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8377701ex4-3.htm"/>
      <w:bookmarkStart w:id="23" w:name="ksea028377701ex43"/>
      <w:bookmarkEnd w:id="22"/>
      <w:bookmarkEnd w:id="23"/>
      <w:r>
        <w:rPr>
          <w:rFonts w:ascii="Times New Roman;Times;Serif" w:hAnsi="Times New Roman;Times;Serif"/>
          <w:b/>
          <w:i w:val="false"/>
          <w:caps w:val="false"/>
          <w:smallCaps w:val="false"/>
          <w:sz w:val="20"/>
        </w:rPr>
        <w:t>Exhibit 4.3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VIVOSIM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COMMON STOCK PURCHASE WARRANT</w:t>
      </w:r>
    </w:p>
    <w:p>
      <w:pPr>
        <w:pStyle w:val="TextBody"/>
        <w:bidi w:val="0"/>
        <w:spacing w:before="0" w:after="0"/>
        <w:ind w:left="0" w:right="0" w:hanging="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1700"/>
        <w:gridCol w:w="60"/>
        <w:gridCol w:w="2630"/>
      </w:tblGrid>
      <w:tr>
        <w:trPr/>
        <w:tc>
          <w:tcPr>
            <w:tcW w:w="1700" w:type="dxa"/>
            <w:tcBorders/>
            <w:vAlign w:val="center"/>
          </w:tcPr>
          <w:p>
            <w:pPr>
              <w:pStyle w:val="TableContents"/>
              <w:bidi w:val="0"/>
              <w:spacing w:before="0" w:after="283"/>
              <w:jc w:val="left"/>
              <w:rPr>
                <w:sz w:val="20"/>
              </w:rPr>
            </w:pPr>
            <w:r>
              <w:rPr>
                <w:sz w:val="20"/>
              </w:rPr>
              <w:t>Warrant Shares: [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sz w:val="20"/>
              </w:rPr>
            </w:pPr>
            <w:r>
              <w:rPr>
                <w:sz w:val="20"/>
              </w:rPr>
              <w:t>Initial Exercise Date: [__], 2026</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sz w:val="20"/>
              </w:rPr>
            </w:pPr>
            <w:r>
              <w:rPr>
                <w:sz w:val="20"/>
              </w:rPr>
              <w:t>Issue Date: [__],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COMMON STOCK PURCHASE WARRANT (this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VivoSim Labs,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 shares of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Company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[__], 2026, among the Company and the purchasers signatory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Subject to Section 2(e) herein,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The Company shall have no obligation to inquire with respect to or otherwise confirm the authenticity of the signature(s) contained on any Notice of Exercise nor the authority of the person so executing such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$0.001,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there is no effective registration statement permitting the issuance of Warrant Shares to, or the resale of Warrant Shares by, the Holder, then this Warrant may also be exercised, in whole or in part, by means of a “cashless exercise” in which the Holder shall be entitled to receive a number of Warrant Shares equal to the quotient obtained by dividing [(A-B) (X)] by (A), where:</w:t>
      </w:r>
    </w:p>
    <w:p>
      <w:pPr>
        <w:pStyle w:val="TextBody"/>
        <w:bidi w:val="0"/>
        <w:spacing w:before="0" w:after="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sz w:val="20"/>
              </w:rPr>
            </w:pPr>
            <w:r>
              <w:rPr>
                <w:sz w:val="20"/>
              </w:rPr>
              <w:t xml:space="preserve">(A) = </w:t>
            </w:r>
          </w:p>
        </w:tc>
        <w:tc>
          <w:tcPr>
            <w:tcW w:w="9837" w:type="dxa"/>
            <w:tcBorders/>
            <w:vAlign w:val="center"/>
          </w:tcPr>
          <w:p>
            <w:pPr>
              <w:pStyle w:val="TableContents"/>
              <w:bidi w:val="0"/>
              <w:spacing w:before="0" w:after="283"/>
              <w:jc w:val="left"/>
              <w:rPr>
                <w:sz w:val="20"/>
              </w:rPr>
            </w:pPr>
            <w:r>
              <w:rPr>
                <w:sz w:val="20"/>
              </w:rPr>
              <w:t>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(“Bloomberg”)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tc>
      </w:tr>
      <w:tr>
        <w:trPr/>
        <w:tc>
          <w:tcPr>
            <w:tcW w:w="7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left"/>
              <w:rPr>
                <w:sz w:val="20"/>
              </w:rPr>
            </w:pPr>
            <w:r>
              <w:rPr>
                <w:sz w:val="20"/>
              </w:rPr>
              <w:t xml:space="preserve">(B) = </w:t>
            </w:r>
          </w:p>
        </w:tc>
        <w:tc>
          <w:tcPr>
            <w:tcW w:w="983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this Warrant, as adjusted hereunder; and</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left"/>
              <w:rPr>
                <w:sz w:val="20"/>
              </w:rPr>
            </w:pPr>
            <w:r>
              <w:rPr>
                <w:sz w:val="20"/>
              </w:rPr>
              <w:t xml:space="preserve">(X) = </w:t>
            </w:r>
          </w:p>
        </w:tc>
        <w:tc>
          <w:tcPr>
            <w:tcW w:w="9837" w:type="dxa"/>
            <w:tcBorders/>
            <w:vAlign w:val="center"/>
          </w:tcPr>
          <w:p>
            <w:pPr>
              <w:pStyle w:val="TableContents"/>
              <w:bidi w:val="0"/>
              <w:spacing w:before="0" w:after="283"/>
              <w:jc w:val="left"/>
              <w:rPr>
                <w:sz w:val="20"/>
              </w:rPr>
            </w:pPr>
            <w:r>
              <w:rPr>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registering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applicable to such exercise, the Holder may, upon written demand to the Company, require the Company to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340" w:right="0" w:hanging="0"/>
        <w:jc w:val="both"/>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Company delivering such Warrant Shares.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3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2340" w:right="0" w:hanging="0"/>
        <w:jc w:val="both"/>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3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shall be owing to the Holder.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when this Warrant is outstanding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xml:space="preserve"> If, at any time while this Warrant is outstanding, (i) the Company, directly or indirectly, in one or more related transactions effects any merger or consolidation of the Company with or into another Person (whether or not the Company is the surviving entity) unless the shareholders of the Company immediately prior to such consolidation or merger continue to hold greater than 50% of the outstanding shares of Voting Stock after such consolidation or merger, (ii) the Company (and all of its Subsidiaries, taken as a whole), directly or indirectly, effects any sale, lease, license, assignment, transfer, conveyance or other disposition of all or substantially all of the Company’s (including its Subsidiaries, taken as a whole)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of Common Stock,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while this Warrant is outstanding, (A) the Company declares a dividend (or any other distribution in whatever form) on the Common Stock, (B) the Company declares a special nonrecurring cash dividend on or a redemption of the Common Stock, (C) the Company authorizes the granting to all holders of the Common Stock rights or warrants to subscribe for or purchase any shares of capital stock of any class or of any rights, (D) the approval of any stockholders of the Company is required in connection with a Fundamental Transaction, or (E) the Company authorizes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ten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shares of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shares of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and provided, further that no notice shall be required if the information is disseminated in a press release or document filed with the Securities and Exchange Commission.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subject to the prior written consent of the holders of a majority of the then outstanding Warrants (based on the number of Warrant Shares then underlying such outstanding Warrants), reduce the then current Exercise Price to any amount and for any period of time deemed appropriate by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shares of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underlying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holders of a majority of the then outstanding Warrants (based on the number of Warrant Shares then underlying such outstanding Warrants), provided that if any amendment, modification or waiver disproportionately and adversely impacts a Holder (or group of Holders), the consent of such disproportionately impacted Holder (or group of Holders) shall also be required.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1999" w:type="dxa"/>
        <w:jc w:val="left"/>
        <w:tblInd w:w="0" w:type="dxa"/>
        <w:tblLayout w:type="fixed"/>
        <w:tblCellMar>
          <w:top w:w="0" w:type="dxa"/>
          <w:left w:w="0" w:type="dxa"/>
          <w:bottom w:w="0" w:type="dxa"/>
          <w:right w:w="0" w:type="dxa"/>
        </w:tblCellMar>
      </w:tblPr>
      <w:tblGrid>
        <w:gridCol w:w="75"/>
        <w:gridCol w:w="665"/>
        <w:gridCol w:w="1259"/>
      </w:tblGrid>
      <w:tr>
        <w:trPr/>
        <w:tc>
          <w:tcPr>
            <w:tcW w:w="75"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left"/>
              <w:rPr>
                <w:b/>
                <w:caps/>
                <w:sz w:val="20"/>
              </w:rPr>
            </w:pPr>
            <w:r>
              <w:rPr>
                <w:b/>
                <w:caps/>
                <w:sz w:val="20"/>
              </w:rPr>
              <w:t>VIVOSIM LABS, inc.</w:t>
            </w:r>
          </w:p>
        </w:tc>
      </w:tr>
      <w:tr>
        <w:trPr/>
        <w:tc>
          <w:tcPr>
            <w:tcW w:w="75"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sz w:val="20"/>
              </w:rPr>
            </w:pPr>
            <w:r>
              <w:rPr>
                <w:sz w:val="20"/>
              </w:rPr>
              <w:t>By:</w:t>
            </w:r>
          </w:p>
        </w:tc>
        <w:tc>
          <w:tcPr>
            <w:tcW w:w="125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left"/>
              <w:rPr>
                <w:sz w:val="20"/>
              </w:rPr>
            </w:pPr>
            <w:r>
              <w:rPr>
                <w:sz w:val="20"/>
              </w:rPr>
              <w:t xml:space="preserve">Name: </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To: 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3170"/>
        <w:gridCol w:w="4025"/>
      </w:tblGrid>
      <w:tr>
        <w:trPr/>
        <w:tc>
          <w:tcPr>
            <w:tcW w:w="3170" w:type="dxa"/>
            <w:tcBorders/>
            <w:vAlign w:val="center"/>
          </w:tcPr>
          <w:p>
            <w:pPr>
              <w:pStyle w:val="TableContents"/>
              <w:bidi w:val="0"/>
              <w:spacing w:before="0" w:after="283"/>
              <w:jc w:val="both"/>
              <w:rPr>
                <w:sz w:val="20"/>
              </w:rPr>
            </w:pPr>
            <w:r>
              <w:rPr>
                <w:sz w:val="20"/>
              </w:rPr>
              <w:t>Name:</w:t>
            </w:r>
          </w:p>
        </w:tc>
        <w:tc>
          <w:tcPr>
            <w:tcW w:w="402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pPr>
            <w:r>
              <w:rPr/>
              <w:t> </w:t>
            </w:r>
          </w:p>
        </w:tc>
        <w:tc>
          <w:tcPr>
            <w:tcW w:w="4025" w:type="dxa"/>
            <w:tcBorders/>
            <w:vAlign w:val="center"/>
          </w:tcPr>
          <w:p>
            <w:pPr>
              <w:pStyle w:val="TableContents"/>
              <w:bidi w:val="0"/>
              <w:spacing w:before="0" w:after="283"/>
              <w:jc w:val="both"/>
              <w:rPr>
                <w:sz w:val="20"/>
              </w:rPr>
            </w:pPr>
            <w:r>
              <w:rPr>
                <w:sz w:val="20"/>
              </w:rPr>
              <w:t>(Please Print)</w:t>
            </w:r>
          </w:p>
        </w:tc>
      </w:tr>
      <w:tr>
        <w:trPr/>
        <w:tc>
          <w:tcPr>
            <w:tcW w:w="3170" w:type="dxa"/>
            <w:tcBorders/>
            <w:vAlign w:val="center"/>
          </w:tcPr>
          <w:p>
            <w:pPr>
              <w:pStyle w:val="TableContents"/>
              <w:bidi w:val="0"/>
              <w:spacing w:before="0" w:after="283"/>
              <w:jc w:val="both"/>
              <w:rPr>
                <w:sz w:val="20"/>
              </w:rPr>
            </w:pPr>
            <w:r>
              <w:rPr>
                <w:sz w:val="20"/>
              </w:rPr>
              <w:t>Address:</w:t>
            </w:r>
          </w:p>
        </w:tc>
        <w:tc>
          <w:tcPr>
            <w:tcW w:w="402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p>
            <w:pPr>
              <w:pStyle w:val="TableContents"/>
              <w:bidi w:val="0"/>
              <w:spacing w:before="0" w:after="0"/>
              <w:ind w:left="0" w:right="0" w:hanging="0"/>
              <w:jc w:val="both"/>
              <w:rPr>
                <w:caps w:val="false"/>
                <w:smallCaps w:val="false"/>
              </w:rPr>
            </w:pPr>
            <w:r>
              <w:rPr>
                <w:caps w:val="false"/>
                <w:smallCaps w:val="false"/>
              </w:rPr>
              <w:t> </w:t>
            </w:r>
          </w:p>
        </w:tc>
        <w:tc>
          <w:tcPr>
            <w:tcW w:w="40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p>
            <w:pPr>
              <w:pStyle w:val="TableContents"/>
              <w:bidi w:val="0"/>
              <w:spacing w:before="0" w:after="0"/>
              <w:ind w:left="0" w:right="0" w:hanging="0"/>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sz w:val="20"/>
              </w:rPr>
            </w:pPr>
            <w:r>
              <w:rPr>
                <w:sz w:val="20"/>
              </w:rPr>
              <w:t>Dated: _______________ __, ______</w:t>
            </w:r>
          </w:p>
        </w:tc>
        <w:tc>
          <w:tcPr>
            <w:tcW w:w="402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pPr>
            <w:r>
              <w:rPr/>
              <w:t> </w:t>
            </w:r>
          </w:p>
        </w:tc>
        <w:tc>
          <w:tcPr>
            <w:tcW w:w="402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sz w:val="20"/>
              </w:rPr>
            </w:pPr>
            <w:r>
              <w:rPr>
                <w:sz w:val="20"/>
              </w:rPr>
              <w:t>Holder’s Signature:</w:t>
            </w:r>
          </w:p>
        </w:tc>
        <w:tc>
          <w:tcPr>
            <w:tcW w:w="4025" w:type="dxa"/>
            <w:tcBorders/>
            <w:vAlign w:val="center"/>
          </w:tcPr>
          <w:p>
            <w:pPr>
              <w:pStyle w:val="TableContents"/>
              <w:bidi w:val="0"/>
              <w:spacing w:before="0" w:after="283"/>
              <w:jc w:val="both"/>
              <w:rPr/>
            </w:pPr>
            <w:r>
              <w:rPr/>
              <w:t> </w:t>
            </w:r>
          </w:p>
        </w:tc>
      </w:tr>
      <w:tr>
        <w:trPr/>
        <w:tc>
          <w:tcPr>
            <w:tcW w:w="3170" w:type="dxa"/>
            <w:tcBorders/>
            <w:vAlign w:val="center"/>
          </w:tcPr>
          <w:p>
            <w:pPr>
              <w:pStyle w:val="TableContents"/>
              <w:bidi w:val="0"/>
              <w:spacing w:before="0" w:after="283"/>
              <w:jc w:val="both"/>
              <w:rPr/>
            </w:pPr>
            <w:r>
              <w:rPr/>
              <w:t> </w:t>
            </w:r>
          </w:p>
        </w:tc>
        <w:tc>
          <w:tcPr>
            <w:tcW w:w="402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sz w:val="20"/>
              </w:rPr>
            </w:pPr>
            <w:r>
              <w:rPr>
                <w:sz w:val="20"/>
              </w:rPr>
              <w:t>Holder’s Address:</w:t>
            </w:r>
          </w:p>
        </w:tc>
        <w:tc>
          <w:tcPr>
            <w:tcW w:w="402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8377701ex4-4.htm"/>
      <w:bookmarkStart w:id="25" w:name="ksea028377701ex44"/>
      <w:bookmarkEnd w:id="24"/>
      <w:bookmarkEnd w:id="25"/>
      <w:r>
        <w:rPr>
          <w:rFonts w:ascii="Times New Roman;Times;Serif" w:hAnsi="Times New Roman;Times;Serif"/>
          <w:b/>
          <w:i w:val="false"/>
          <w:caps w:val="false"/>
          <w:smallCaps w:val="false"/>
          <w:sz w:val="20"/>
        </w:rPr>
        <w:t>Exhibit 4.4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VIVOSIM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[__], 2026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VivoSim Labs,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certifies that, for good and valuable consideration, the receipt and sufficiency of which are hereby acknowledged, [__], the registered holder hereof or its permitted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at any time or times on or after the Issuance Date, but not after 11:59 p.m., New York time, on the Expiration Date (as defined below), [_____] (subject to adjustment as provided herein) fully paid and non-assessable shares of Common Stock (as defined below)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Except as otherwise defined herein, capitalized terms in this Warrant shall have the meanings set forth in Section 16. This Warrant is one of the Warrants to purchase Common Stock (the “</w:t>
      </w:r>
      <w:r>
        <w:rPr>
          <w:rFonts w:ascii="Times New Roman;Times;Serif" w:hAnsi="Times New Roman;Times;Serif"/>
          <w:b/>
          <w:i w:val="false"/>
          <w:caps w:val="false"/>
          <w:smallCaps w:val="false"/>
          <w:sz w:val="20"/>
        </w:rPr>
        <w:t>SPA Warrants</w:t>
      </w:r>
      <w:r>
        <w:rPr>
          <w:rFonts w:ascii="Times New Roman;Times;Serif" w:hAnsi="Times New Roman;Times;Serif"/>
          <w:b w:val="false"/>
          <w:i w:val="false"/>
          <w:caps w:val="false"/>
          <w:smallCaps w:val="false"/>
          <w:sz w:val="20"/>
        </w:rPr>
        <w:t>”) issued to Holder pursuant to that certain Securities Purchase Agreement dated [__], 2026 by and among the Company, the Holder and the other investors thereto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 xml:space="preserve">. Subject to the terms and conditions hereof (including, without limitation, the limitations set forth in Section 1(f)), this Warrant may be exercised by the Holder on any day on or after the Issuance Date in whole or in part, by delivery (whether via facsimile, PDF submitted by e-mail, or otherwise) of a written notice, in the form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Times;Serif" w:hAnsi="Times New Roman;Times;Serif"/>
          <w:b/>
          <w:i w:val="false"/>
          <w:caps w:val="false"/>
          <w:smallCaps w:val="false"/>
          <w:sz w:val="20"/>
        </w:rPr>
        <w:t>Aggregate Exercise Price</w:t>
      </w:r>
      <w:r>
        <w:rPr>
          <w:rFonts w:ascii="Times New Roman;Times;Serif" w:hAnsi="Times New Roman;Times;Serif"/>
          <w:b w:val="false"/>
          <w:i w:val="false"/>
          <w:caps w:val="false"/>
          <w:smallCaps w:val="false"/>
          <w:sz w:val="20"/>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or PDF submitted by email an acknowledgment of confirmation of receipt of such Exercise Notice,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to the Holder and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On or before the first (1st) Trading Day following the date on which the Company has received such Exercise Notice (the “</w:t>
      </w:r>
      <w:r>
        <w:rPr>
          <w:rFonts w:ascii="Times New Roman;Times;Serif" w:hAnsi="Times New Roman;Times;Serif"/>
          <w:b/>
          <w:i w:val="false"/>
          <w:caps w:val="false"/>
          <w:smallCaps w:val="false"/>
          <w:sz w:val="20"/>
        </w:rPr>
        <w:t>Required Delivery Date</w:t>
      </w:r>
      <w:r>
        <w:rPr>
          <w:rFonts w:ascii="Times New Roman;Times;Serif" w:hAnsi="Times New Roman;Times;Serif"/>
          <w:b w:val="false"/>
          <w:i w:val="false"/>
          <w:caps w:val="false"/>
          <w:smallCaps w:val="false"/>
          <w:sz w:val="20"/>
        </w:rPr>
        <w:t>”), the Company shall, upon the request of the Holder, credit such aggregate number of shares of Common Stock to which the Holder is entitled pursuant to such exercise to the Holder’s or its designee’s balance account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through its Deposit/ Withdrawal at Custodian system.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If this Warrant is submitted in connection with any exercise pursuant to this Section 1(a) and the number of Warrant Shares represented by this Warrant is greater than the number of Warrant Shares being acquired upon an exercise, then, at the request of the Holder and upon surrender hereof by the Holder to the Company, the Company shall as soon as practicable and in no event later than three (3)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For purposes of this Warrant,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means $[__], subject to adjustment as provided herein.</w:t>
      </w:r>
    </w:p>
    <w:p>
      <w:pPr>
        <w:pStyle w:val="TextBody"/>
        <w:bidi w:val="0"/>
        <w:spacing w:before="0" w:after="0"/>
        <w:ind w:left="113"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Company’s Failure to Timely Deliver Securities</w:t>
      </w:r>
      <w:r>
        <w:rPr>
          <w:rFonts w:ascii="Times New Roman;Times;Serif" w:hAnsi="Times New Roman;Times;Serif"/>
          <w:b w:val="false"/>
          <w:i w:val="false"/>
          <w:caps w:val="false"/>
          <w:smallCaps w:val="false"/>
          <w:sz w:val="20"/>
        </w:rPr>
        <w:t>. If the Company fails to issue and credit the balance account of Holder or Holder’s nominee with DTC for such number of Warrant Shares for which this Warrant is exercised by the Holder, then, in addition to all other remedies available to Holder, at the sole discretion of Holder, the Company shall:</w:t>
      </w:r>
    </w:p>
    <w:p>
      <w:pPr>
        <w:pStyle w:val="TextBody"/>
        <w:bidi w:val="0"/>
        <w:spacing w:before="0" w:after="0"/>
        <w:ind w:left="113"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pay in cash to Holder on each Trading Day after the Required Delivery Date that the issuance and credit of such Warrant Shares is not timely effected an amount equal to 5% of the product of (A) the number of shares of Common Stock not so credited to Holder or Holder’s nominee multiplied by (B) the Closing Sale Price of the Common Stock on the Trading Day immediately preceding the Required Delivery Date; or</w:t>
      </w:r>
    </w:p>
    <w:p>
      <w:pPr>
        <w:pStyle w:val="TextBody"/>
        <w:bidi w:val="0"/>
        <w:spacing w:before="0" w:after="0"/>
        <w:ind w:left="113"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on or after the Required Delivery Date, Holder (or any other Person in respect, or on behalf, of Holder) purchases (in an open market transaction or otherwise) Common Stock (“</w:t>
      </w:r>
      <w:r>
        <w:rPr>
          <w:rFonts w:ascii="Times New Roman;Times;Serif" w:hAnsi="Times New Roman;Times;Serif"/>
          <w:b/>
          <w:i w:val="false"/>
          <w:caps w:val="false"/>
          <w:smallCaps w:val="false"/>
          <w:sz w:val="20"/>
        </w:rPr>
        <w:t>Replacement Shares</w:t>
      </w:r>
      <w:r>
        <w:rPr>
          <w:rFonts w:ascii="Times New Roman;Times;Serif" w:hAnsi="Times New Roman;Times;Serif"/>
          <w:b w:val="false"/>
          <w:i w:val="false"/>
          <w:caps w:val="false"/>
          <w:smallCaps w:val="false"/>
          <w:sz w:val="20"/>
        </w:rPr>
        <w:t>”) to deliver in satisfaction of a sale by Holder of all or any portion of the number of shares of Common Stock, or a sale of a number of shares of Common Stock equal to all or any portion of the number of shares of Common Stock, that Holder so anticipated receiving from the Company without any restrictive legend, then, within five (5) Trading Days after Holder’s request and in Holder’s sole discretion, either (A) pay cash to Holder in an amount equal to Holder’s total purchase price (including brokerage commissions and other out-of-pocket expenses, if any) for the Replacement Shares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credit Holder’s balance account shall terminate and such shares shall be cancelled, or (B) promptly honor its obligation to so credit Holder’s DTC account representing such number of shares of Common Stock that would have been so delivered if the Company timely complied with its obligations hereunder and pay cash to Holder in an amount equal to the excess (if any) of the Buy-In Price over the product of (1) such number of shares of Common Stock that the Company was required to deliver to Holder by the Required Delivery Date multiplied by (2) the lowest Closing Sale Price of the Common Stock on any Trading Day during the period commencing on the date Holder purchased Replacement Shares and ending on the date of such delivery and payment under this clause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Company’s obligations to issue and deliver the Common Stock upon exercise of the Warrant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the Common Stock. Nothing herein shall limit the Holder’s right to pursue any other remedies available to it hereunder, at law or in equity including, without limitation, a decree of specific performance and/or injunctive relief with respect to the Company’s failure to timely deliver the Common Stock issuable upon exercise of this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(other than Section 1(f) below) at any time the Holder may in its sole discretion (and without limiting the Holder’s rights and remedies contained herein or in any of the other Transaction Documents (as defined in the Securities Purchase Agreement)),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 w:right="0" w:firstLine="124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Number = (A x B) / C</w:t>
      </w:r>
    </w:p>
    <w:p>
      <w:pPr>
        <w:pStyle w:val="TextBody"/>
        <w:bidi w:val="0"/>
        <w:spacing w:before="0" w:after="0"/>
        <w:ind w:left="113" w:right="0" w:firstLine="1243"/>
        <w:jc w:val="both"/>
        <w:rPr>
          <w:caps w:val="false"/>
          <w:smallCaps w:val="false"/>
        </w:rPr>
      </w:pPr>
      <w:r>
        <w:rPr>
          <w:caps w:val="false"/>
          <w:smallCaps w:val="false"/>
        </w:rPr>
        <w:t> </w:t>
      </w:r>
    </w:p>
    <w:p>
      <w:pPr>
        <w:pStyle w:val="TextBody"/>
        <w:bidi w:val="0"/>
        <w:spacing w:before="0" w:after="0"/>
        <w:ind w:left="113" w:right="0" w:firstLine="124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13" w:right="0" w:firstLine="1243"/>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5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The total number of shares with respect to which this Warrant is then being exercised.</w:t>
      </w:r>
    </w:p>
    <w:p>
      <w:pPr>
        <w:pStyle w:val="TextBody"/>
        <w:bidi w:val="0"/>
        <w:spacing w:before="0" w:after="0"/>
        <w:ind w:left="1357" w:right="0" w:hanging="0"/>
        <w:jc w:val="both"/>
        <w:rPr>
          <w:caps w:val="false"/>
          <w:smallCaps w:val="false"/>
        </w:rPr>
      </w:pPr>
      <w:r>
        <w:rPr>
          <w:caps w:val="false"/>
          <w:smallCaps w:val="false"/>
        </w:rPr>
        <w:t> </w:t>
      </w:r>
    </w:p>
    <w:p>
      <w:pPr>
        <w:pStyle w:val="TextBody"/>
        <w:bidi w:val="0"/>
        <w:spacing w:before="0" w:after="0"/>
        <w:ind w:left="135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Black Scholes Value (as defined in Section 16 herein).</w:t>
      </w:r>
    </w:p>
    <w:p>
      <w:pPr>
        <w:pStyle w:val="TextBody"/>
        <w:bidi w:val="0"/>
        <w:spacing w:before="0" w:after="0"/>
        <w:ind w:left="1357" w:right="0" w:hanging="0"/>
        <w:jc w:val="both"/>
        <w:rPr>
          <w:caps w:val="false"/>
          <w:smallCaps w:val="false"/>
        </w:rPr>
      </w:pPr>
      <w:r>
        <w:rPr>
          <w:caps w:val="false"/>
          <w:smallCaps w:val="false"/>
        </w:rPr>
        <w:t> </w:t>
      </w:r>
    </w:p>
    <w:p>
      <w:pPr>
        <w:pStyle w:val="TextBody"/>
        <w:bidi w:val="0"/>
        <w:spacing w:before="0" w:after="0"/>
        <w:ind w:left="135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lower of the two Closing Bid Prices of the Common Stock in the two days prior the time of such exercise (as such Closing Bid Price is defined in Section 16 herein), but in any event not less than $0.01 (as may be adjusted for stock dividends, subdivisions, or combinations in the manner described in Section 2(a)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xml:space="preserve">.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following such issuance to Holder such dispute shall be resolved in accordance with Section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Limitations on Exercises and Exchan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es</w:t>
      </w:r>
      <w:r>
        <w:rPr>
          <w:rFonts w:ascii="Times New Roman;Times;Serif" w:hAnsi="Times New Roman;Times;Serif"/>
          <w:b w:val="false"/>
          <w:i w:val="false"/>
          <w:caps w:val="false"/>
          <w:smallCaps w:val="false"/>
          <w:sz w:val="20"/>
        </w:rPr>
        <w:t>. Notwithstanding anything to the contrary contained in this Warrant, this Warrant shall not be exercisable or exchangeable by the Holder hereof to the extent (but only to the extent) that the Holder or any of its affiliates would beneficially own in excess of [4.99%/9.99%] of the number of shares of Common Stock outstanding after giving effect to the issuance of Common Stock issuable upon exercise of the Warrants calculated in accordance with Section 13(d) of the Exchange Act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To the extent the above limitation applies, the determination of whether this Warrant shall be exercisable or exchangeable (vis-à-vis other convertible, exercisable or exchangeable securities owned by the Holder or any of its affiliates) and of which such securities shall be exercisable or exchangeable (as among all such securities owned by the Holder) shall, subject to such Maximum Percentage limitation, be determined on the basis of the first submission to the Company for conversion, exercise or exchange (as the case may be). For the purposes of this paragraph, beneficial ownership and all determinations and calculations (including, without limitation, with respect to calculations of percentage ownership) shall be determined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two (2) Business Days confirm orally and in writing to the Holder the number of shares of Common Stock then outstanding, including by virtue of any prior conversion or exercise or exchange of convertible or exercisable or exchangeable securities into shares of Common Stock, including, without limitation, pursuant to this Warrant or securities issued pursuant to the Securities Purchase Agreement. No prior inability to exercise or exchange this Warrant pursuant to this paragraph shall have any effect on the applicability of the provisions of this paragraph with respect to any subsequent determination of exercisability or exchangeability.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Reservation of Shares; Insufficient Authorized Shares</w:t>
      </w:r>
      <w:r>
        <w:rPr>
          <w:rFonts w:ascii="Times New Roman;Times;Serif" w:hAnsi="Times New Roman;Times;Serif"/>
          <w:b w:val="false"/>
          <w:i w:val="false"/>
          <w:caps w:val="false"/>
          <w:smallCaps w:val="false"/>
          <w:sz w:val="20"/>
        </w:rPr>
        <w:t>. The Company shall initially reserve out of its authorized and unissued shares of Common Stock a number of shares of Common Stock equal to 250% of the maximum number of Warrant Shares issuable to satisfy the Company’s obligations to issue shares of Common Stock hereunder, and the Company shall at all times keep reserved for issuance under this Warrant a number of shares of Common Stock equal to 250% of the maximum number of Warrant Shares issuable to satisfy the Company’s obligation to issue shares of Common Stock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Activity Restrictions</w:t>
      </w:r>
      <w:r>
        <w:rPr>
          <w:rFonts w:ascii="Times New Roman;Times;Serif" w:hAnsi="Times New Roman;Times;Serif"/>
          <w:b w:val="false"/>
          <w:i w:val="false"/>
          <w:caps w:val="false"/>
          <w:smallCaps w:val="false"/>
          <w:sz w:val="20"/>
        </w:rPr>
        <w:t>. For so long as Holder holds this Warrant or any Warrant Shares, Holder will not: (i) engage or participate in any actions, plans or proposals which relate to or would result in (a) acquiring additional securities of the Company, alone or together with any other Person, which would result in beneficially owning or controlling, or being deemed to beneficially own or control, more than 9.99% of the total outstanding shares of Common Stock or other voting securities of the Company, (b) an extraordinary corporate transaction, such as a merger, reorganization or liquidation, involving Company, (c) a sale or transfer of a material amount of assets of the Company, (d) any change in the present board of directors or management of the Company, including any plans or proposals to change the number or term of directors or to fill any existing vacancies on the board, (e) any material change in the present capitalization or dividend policy of the Company, (f) any other material change in the Company’s business or corporate structure, including but not limited to, if the Company is a registered closed-end investment company, any plans or proposals to make any changes in its investment policy for which a vote is required by Section 13 of the Investment Company Act of 1940, (g) changes in the Company’s charter, bylaws or instruments corresponding thereto or other actions which may impede the acquisition of control of the Company by any Person, (h) causing a class of securities of the Company to be delisted from a national securities exchange or to cease to be authorized to be quoted in an inter-dealer quotation system of a registered national securities association, (i) a class of equity securities of the Company becoming eligible for termination of registration pursuant to Section 12(g)(4)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or (j) any action, intention, plan or arrangement similar to any of those enumerated above, or (ii) request the Company or its directors, officers, employees, agents or representatives to amend or waive any provision of this Section 1(h);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notwithstanding anything to the contrary contain in clauses (i) and (ii) above, Holder may vote any shares of Common Stock owned or controlled by it, solicit any proxies, or seek to advise or influence any Person with respect to any voting securities of the Company in Holder’s discretion. Holder may only exercise this Warrant for a cash exercise price if the trading price at the time of exercise is greater than the then applicable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ADJUSTMENT OF EXERCISE PRICE AND NUMBER OF WARRANT SHARES</w:t>
      </w:r>
      <w:r>
        <w:rPr>
          <w:rFonts w:ascii="Times New Roman;Times;Serif" w:hAnsi="Times New Roman;Times;Serif"/>
          <w:b w:val="false"/>
          <w:i w:val="false"/>
          <w:caps w:val="false"/>
          <w:smallCaps w:val="false"/>
          <w:sz w:val="20"/>
        </w:rPr>
        <w:t>. The Exercise Price and number of Warrant Shares issuable upon exercise of this Warrant are subject to adjustment from time to time as set forth in this Section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Without limiting any provision of Section 4, if the Company, at any time while this Warrant is outstanding, (i) pays a stock dividend on one or more classes of its then outstanding shares of Common Stock or otherwise makes a distribution on any class of capital stock that is payable in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w:t>
      </w:r>
      <w:r>
        <w:rPr>
          <w:rFonts w:ascii="Times New Roman;Times;Serif" w:hAnsi="Times New Roman;Times;Serif"/>
          <w:b w:val="false"/>
          <w:i w:val="false"/>
          <w:caps w:val="false"/>
          <w:smallCaps w:val="false"/>
          <w:sz w:val="20"/>
        </w:rPr>
        <w:t>j</w:t>
      </w:r>
      <w:r>
        <w:rPr>
          <w:rFonts w:ascii="Times New Roman;Times;Serif" w:hAnsi="Times New Roman;Times;Serif"/>
          <w:b w:val="false"/>
          <w:i w:val="false"/>
          <w:caps w:val="false"/>
          <w:smallCaps w:val="false"/>
          <w:sz w:val="20"/>
          <w:u w:val="single"/>
        </w:rPr>
        <w:t>ustment Upon Issuance of Common Stock</w:t>
      </w:r>
      <w:r>
        <w:rPr>
          <w:rFonts w:ascii="Times New Roman;Times;Serif" w:hAnsi="Times New Roman;Times;Serif"/>
          <w:b w:val="false"/>
          <w:i w:val="false"/>
          <w:caps w:val="false"/>
          <w:smallCaps w:val="false"/>
          <w:sz w:val="20"/>
        </w:rPr>
        <w:t>. If, during the Restricted Period (as defined in the Securities Purchase Agreement), the Company completes a financing involving the issuance by the Company of Common Stock or Common Stock Equivalents (a “Subsequent Financing”), or in accordance with this Section 2 is deemed to have effected a Subsequent Financing, any Common Stock (including the issuance or sale of Common Stock owned or held by or for the account of the Company) issued or sold or deemed to have been issued or sold)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a price equal to the Exercise Price in effect immediately prior to such issue or sale or deemed issuance or sale (such Exercise Price then in effect is referred to as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Exercise Price then in effect shall be reduced (and in no event increased) to the price per share as determined in accordance with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5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EP2 = EP1 x (A + B) / (A +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5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Warrant Shares with respect to which this Warrant may then be exercised.</w:t>
      </w:r>
    </w:p>
    <w:p>
      <w:pPr>
        <w:pStyle w:val="TextBody"/>
        <w:bidi w:val="0"/>
        <w:spacing w:before="0" w:after="0"/>
        <w:ind w:left="1357" w:right="0" w:hanging="0"/>
        <w:jc w:val="left"/>
        <w:rPr>
          <w:caps w:val="false"/>
          <w:smallCaps w:val="false"/>
        </w:rPr>
      </w:pPr>
      <w:r>
        <w:rPr>
          <w:caps w:val="false"/>
          <w:smallCaps w:val="false"/>
        </w:rPr>
        <w:t> </w:t>
      </w:r>
    </w:p>
    <w:p>
      <w:pPr>
        <w:pStyle w:val="TextBody"/>
        <w:bidi w:val="0"/>
        <w:spacing w:before="0" w:after="0"/>
        <w:ind w:left="135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total number of shares of Common Stock that would be issued or issuable under the Dilutive Issuance if issued at a per share equal to EP1.</w:t>
      </w:r>
    </w:p>
    <w:p>
      <w:pPr>
        <w:pStyle w:val="TextBody"/>
        <w:bidi w:val="0"/>
        <w:spacing w:before="0" w:after="0"/>
        <w:ind w:left="1357" w:right="0" w:hanging="0"/>
        <w:jc w:val="left"/>
        <w:rPr>
          <w:caps w:val="false"/>
          <w:smallCaps w:val="false"/>
        </w:rPr>
      </w:pPr>
      <w:r>
        <w:rPr>
          <w:caps w:val="false"/>
          <w:smallCaps w:val="false"/>
        </w:rPr>
        <w:t> </w:t>
      </w:r>
    </w:p>
    <w:p>
      <w:pPr>
        <w:pStyle w:val="TextBody"/>
        <w:bidi w:val="0"/>
        <w:spacing w:before="0" w:after="0"/>
        <w:ind w:left="135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total number of shares of Common Stock actually issued or issuable under the Dilutive Issuance.</w:t>
      </w:r>
    </w:p>
    <w:p>
      <w:pPr>
        <w:pStyle w:val="TextBody"/>
        <w:bidi w:val="0"/>
        <w:spacing w:before="0" w:after="0"/>
        <w:ind w:left="1357" w:right="0" w:hanging="0"/>
        <w:jc w:val="left"/>
        <w:rPr>
          <w:caps w:val="false"/>
          <w:smallCaps w:val="false"/>
        </w:rPr>
      </w:pPr>
      <w:r>
        <w:rPr>
          <w:caps w:val="false"/>
          <w:smallCaps w:val="false"/>
        </w:rPr>
        <w:t> </w:t>
      </w:r>
    </w:p>
    <w:p>
      <w:pPr>
        <w:pStyle w:val="TextBody"/>
        <w:bidi w:val="0"/>
        <w:spacing w:before="0" w:after="0"/>
        <w:ind w:left="135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EP1= The Exercise Price in effect immediately prior to a Dilutive Issuance.</w:t>
      </w:r>
    </w:p>
    <w:p>
      <w:pPr>
        <w:pStyle w:val="TextBody"/>
        <w:bidi w:val="0"/>
        <w:spacing w:before="0" w:after="0"/>
        <w:ind w:left="1357" w:right="0" w:hanging="0"/>
        <w:jc w:val="left"/>
        <w:rPr>
          <w:caps w:val="false"/>
          <w:smallCaps w:val="false"/>
        </w:rPr>
      </w:pPr>
      <w:r>
        <w:rPr>
          <w:caps w:val="false"/>
          <w:smallCaps w:val="false"/>
        </w:rPr>
        <w:t> </w:t>
      </w:r>
    </w:p>
    <w:p>
      <w:pPr>
        <w:pStyle w:val="TextBody"/>
        <w:bidi w:val="0"/>
        <w:spacing w:before="0" w:after="0"/>
        <w:ind w:left="135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EP2= The Exercise Price immediately after such Dilutive Issuance;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such price shall in no event be less than $0.01 per share of Common Stock (as may be adjusted for stock dividends, subdivisions, or combinations in the manner described in Section 2(a) herein, the “</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w:t>
      </w:r>
    </w:p>
    <w:p>
      <w:pPr>
        <w:pStyle w:val="TextBody"/>
        <w:bidi w:val="0"/>
        <w:spacing w:before="0" w:after="0"/>
        <w:ind w:left="1357"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that if such issuance or sale (or deemed issuance or sale) was without consideration, then the Company shall be deemed to have received the Floor Price for each such share so issued or deemed to be issued. For all purposes of the foregoing (including, without limitation, determining the adjusted Exercise Price and consideration per share under this Section 2(b)), the following shall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Restricted Period,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issuable upon the exercise of any such Options or upon conversion, exercise or exchange of any Convertible Securities issuable upon exercise of any such Option” shall be equal to (A)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minus (B) 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Exercise Price shall be made upon the actual issuance of such Common Stock or of such Convertible Securities upon the exercise of such Options or upon the actual issuance of such Common Stock upon conversion, exercise or exchange of such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Restricted Period,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issuable upon the conversion, exercise or exchange thereof” shall be equal to (A) the sum of the lowest amounts of consideration (if any) received or receivable by the Company with respect to one share of Common Stock upon the issuance or sale of the Convertible Security and upon conversion, exercise or exchange of such Convertible Security minus (B)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Common Stock upon conversion, exercise or exchange of such Convertible Securities, and if any such issue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issue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 in Option Price or Rate of Conversion</w:t>
      </w:r>
      <w:r>
        <w:rPr>
          <w:rFonts w:ascii="Times New Roman;Times;Serif" w:hAnsi="Times New Roman;Times;Serif"/>
          <w:b w:val="false"/>
          <w:i w:val="false"/>
          <w:caps w:val="false"/>
          <w:smallCaps w:val="false"/>
          <w:sz w:val="20"/>
        </w:rPr>
        <w:t>. If, during the Restricted Period,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date of issuance of this Warrant are increased or decreased in the manner described in the immediately preceding sentence, then such Option or Convertible Security and the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during the Restricted Period, any Option or Convertible Security is issued in connection with the issuance or sale or deemed issuance or sale of any other securities of the Company, together comprising one integrated transaction, (A) such Option or Convertible Security (as applicable) will be deemed to have been issued for consideration equal to the Black Scholes Value – Consideration thereof and (B) the other securities issued or sold or deemed to have been issued or sold in such integrated transaction shall be deemed to have been issued for consideration equal to the difference of (1) the aggregate consideration received by the Company, minus (2) the Black Scholes Value – Consideration of each such Option or Convertible Security (as applicable). If any Common Stock, Options or Convertible Securities are issued or sold or deemed to have been issued or sold for cash, the consideration received therefor will be deemed to be the net amount of consideration received by the Company therefor. If any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Times;Serif" w:hAnsi="Times New Roman;Times;Serif"/>
          <w:b/>
          <w:i w:val="false"/>
          <w:caps w:val="false"/>
          <w:smallCaps w:val="false"/>
          <w:sz w:val="20"/>
        </w:rPr>
        <w:t>Valuation Event</w:t>
      </w:r>
      <w:r>
        <w:rPr>
          <w:rFonts w:ascii="Times New Roman;Times;Serif" w:hAnsi="Times New Roman;Times;Serif"/>
          <w:b w:val="false"/>
          <w:i w:val="false"/>
          <w:caps w:val="false"/>
          <w:smallCaps w:val="false"/>
          <w:sz w:val="20"/>
        </w:rPr>
        <w:t>”), the fair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during the Restricted Period, the Company takes a record of the holders of Common Stock for the purpose of entitling them (A) to receive a dividend or other distribution payable in Common Stock, Options or in Convertible Securities or (B) to subscribe for or purchase Common Stock, Options or Convertible Securities, then such record date will be deemed to be the date of the issue or sale of the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For the avoidance of doubt, no adjustment shall be made pursuant to this Section 2(b) for an Exempt Issuance (as defined in the Securities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3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34" w:right="0" w:hanging="0"/>
        <w:jc w:val="left"/>
        <w:rPr>
          <w:caps w:val="false"/>
          <w:smallCaps w:val="false"/>
        </w:rPr>
      </w:pPr>
      <w:r>
        <w:rPr>
          <w:caps w:val="false"/>
          <w:smallCaps w:val="false"/>
        </w:rPr>
        <w:t> </w:t>
      </w:r>
    </w:p>
    <w:p>
      <w:pPr>
        <w:pStyle w:val="TextBody"/>
        <w:bidi w:val="0"/>
        <w:spacing w:before="0" w:after="0"/>
        <w:ind w:left="73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34" w:right="0" w:hanging="0"/>
        <w:jc w:val="left"/>
        <w:rPr>
          <w:caps w:val="false"/>
          <w:smallCaps w:val="false"/>
        </w:rPr>
      </w:pPr>
      <w:r>
        <w:rPr>
          <w:caps w:val="false"/>
          <w:smallCaps w:val="false"/>
        </w:rPr>
        <w:t> </w:t>
      </w:r>
    </w:p>
    <w:p>
      <w:pPr>
        <w:pStyle w:val="TextBody"/>
        <w:bidi w:val="0"/>
        <w:spacing w:before="0" w:after="0"/>
        <w:ind w:left="73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35"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xml:space="preserve">. In the event that the Company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no such adjustment pursuant to this Section 2(e) will increase the Exercise Price or decrease the number of Warrant Shares as otherwise determined pursuant to this Section 2,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f</w:t>
      </w:r>
      <w:r>
        <w:rPr>
          <w:rFonts w:ascii="Times New Roman;Times;Serif" w:hAnsi="Times New Roman;Times;Serif"/>
          <w:b w:val="false"/>
          <w:i/>
          <w:caps w:val="false"/>
          <w:smallCaps w:val="false"/>
          <w:sz w:val="20"/>
          <w:u w:val="single"/>
        </w:rPr>
        <w:t>urther</w:t>
      </w:r>
      <w:r>
        <w:rPr>
          <w:rFonts w:ascii="Times New Roman;Times;Serif" w:hAnsi="Times New Roman;Times;Serif"/>
          <w:b w:val="false"/>
          <w:i w:val="false"/>
          <w:caps w:val="false"/>
          <w:smallCaps w:val="false"/>
          <w:sz w:val="20"/>
        </w:rPr>
        <w:t xml:space="preserve">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Common Stock, by way of return of capital or otherwise (including, without limitation, any distribution of cash, stock or other securities, indebtedness, property or options by way of a dividend, spin off, reclassification, corporate rearrangement, scheme of arrangement or other similar transaction, other than a distribution of Common Stock covered by Section 2(a))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at any time after the issuance of this Warrant, then, in each such case, provision shall be made so that upon exercise of this Warrant,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Common Stock are to be determined for the participation in such Distribution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Distributions would result in the Holder exceeding the Maximum Percentage, then the Holder shall not be entitled to participate in such Distribution to such extent (or the beneficial ownership of any such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PURCHASE RIGHTS; FUNDAMENTAL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issue or sale of such Purchase Rights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Purchase Right would result in the Holder exceeding the Maximum Percentage,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Maximum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Fundamental Transactions</w:t>
      </w:r>
      <w:r>
        <w:rPr>
          <w:rFonts w:ascii="Times New Roman;Times;Serif" w:hAnsi="Times New Roman;Times;Serif"/>
          <w:b w:val="false"/>
          <w:i w:val="false"/>
          <w:caps w:val="false"/>
          <w:smallCaps w:val="false"/>
          <w:sz w:val="20"/>
        </w:rPr>
        <w:t>. The Company shall not enter into or be party to a Fundamental Transaction unless the Successor Entity assumes in writing all of the obligations of the Company under this Warrant and the other Transaction Documents related to this Warrant in accordance with the provisions of this Section 4(b) pursuant to written agreements in form and substance reasonably satisfactory to the Holder, including agreements confirming the obligations of the Successor Entity as set forth in this paragraph (b) and (c) and elsewhere in this Warrant and an obligation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Common Stock are given any choice as to the securities, cash or property to be received in a Fundamental Transaction, then the Holder shall be given the same choice as to the consideration it receives upon any exercise of this Warrant following such Fundamental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in the event of a Fundamental Transaction, the Company or any Successor Entity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 FT of the remaining unexercised portion of this Warrant on the date of the consummation of such Fundamental Transaction;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 FT of the unexercised portion of this Warrant, that is being offered and paid to the holders of Common Stock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xml:space="preserve">, that if holders of Common Stock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that such amount of reserved shares of Common Stock shall be limited by the Maximum Percentage of Common Stock as set forth in Section 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pp</w:t>
      </w:r>
      <w:r>
        <w:rPr>
          <w:rFonts w:ascii="Times New Roman;Times;Serif" w:hAnsi="Times New Roman;Times;Serif"/>
          <w:b w:val="false"/>
          <w:i w:val="false"/>
          <w:caps w:val="false"/>
          <w:smallCaps w:val="false"/>
          <w:sz w:val="20"/>
          <w:u w:val="single"/>
        </w:rPr>
        <w:t>lication</w:t>
      </w:r>
      <w:r>
        <w:rPr>
          <w:rFonts w:ascii="Times New Roman;Times;Serif" w:hAnsi="Times New Roman;Times;Serif"/>
          <w:b w:val="false"/>
          <w:i w:val="false"/>
          <w:caps w:val="false"/>
          <w:smallCaps w:val="false"/>
          <w:sz w:val="20"/>
        </w:rPr>
        <w:t>. The provisions of this Section 4 shall apply similarly and equally to successive Fundamental Transactions and shall be applied as if this Warrant (and any such subsequent warrants issued hereunder) were fully exercisable and without regard to any limitations on the exercise of this Warrant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Holder shall continue to be entitled to the benefit of the Maximum Percentage, applied however with respect to shares of capital stock registered under the Exchange Act and thereafter receivable upon exercise of this Warrant (or any such other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xml:space="preserve">.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such amount of reserved Common Stock shall be limited by the Maximum Percentage of Common Stock as set forth in Section 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WARRANT HOLDER NOT DEEMED A SHAREHOLDER</w:t>
      </w:r>
      <w:r>
        <w:rPr>
          <w:rFonts w:ascii="Times New Roman;Times;Serif" w:hAnsi="Times New Roman;Times;Serif"/>
          <w:b w:val="false"/>
          <w:i w:val="false"/>
          <w:caps w:val="false"/>
          <w:smallCaps w:val="false"/>
          <w:sz w:val="20"/>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REISSUANCE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selected by the Holder and reasonably acceptable to the Company, the form and substance of which opinion shall be reasonably satisfactory to the Company, to the effect that such transfer does not require registration of such transferred securities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Warrant</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eable for Multiple Warrants</w:t>
      </w:r>
      <w:r>
        <w:rPr>
          <w:rFonts w:ascii="Times New Roman;Times;Serif" w:hAnsi="Times New Roman;Times;Serif"/>
          <w:b w:val="false"/>
          <w:i w:val="false"/>
          <w:caps w:val="false"/>
          <w:smallCaps w:val="false"/>
          <w:sz w:val="20"/>
        </w:rPr>
        <w:t xml:space="preserve">. This Warrant is exchangeable, upon the surrender hereof by the Holder to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no warrants for fractional share of Common Stock shall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Warrants</w:t>
      </w:r>
      <w:r>
        <w:rPr>
          <w:rFonts w:ascii="Times New Roman;Times;Serif" w:hAnsi="Times New Roman;Times;Serif"/>
          <w:b w:val="false"/>
          <w:i w:val="false"/>
          <w:caps w:val="false"/>
          <w:smallCaps w:val="false"/>
          <w:sz w:val="20"/>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5.4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(ii) at least ten (10) days prior to the date on which the Company closes its books or takes a record (A) with respect to any dividend or distribution upon the Common Stock, (B) with respect to any grants, issuances or sales of any Options, Convertible Securities or rights to purchase stock, warrants, securities, indebtedness, or other property pro rata to holders of Common Stock or (C) for determining rights to vote with respect to any Fundamental Transaction, dissolution or liquidation, provided in each case that such information (to the extent it constitutes, or contains, material, non-public information regarding the Company) shall be made known to the public prior to or in conjunction with such notice being provided to the Holder and (iii) at least ten (10) Trading Days prior to the consummation of any Fundamental Transaction. It is expressly understood and agreed that the time of execution specified by the Holder in each Exercise Notice shall be definitive and may not be disputed or challenged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any other similar warrant issued under the Securities Purchase Agreement. No waiver shall be effective unless it is in writing and signed by an authorized representative of the waiving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Times New Roman;Times;Serif" w:hAnsi="Times New Roman;Times;Serif"/>
          <w:b/>
          <w:i w:val="false"/>
          <w:caps w:val="false"/>
          <w:smallCaps w:val="false"/>
          <w:sz w:val="20"/>
        </w:rPr>
        <w:t>THE COMPANY HEREBY IRREVOCABLY WAIVES ANY RIGHT IT MAY HAVE TO, AND AGREES NOT TO REQUEST, A JURY TRIAL FOR THE ADJUDICATION OF ANY DISPUTE HEREUNDER OR IN CONNECTION WITH OR ARISING OUT OF THIS WARRANT OR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the Closing Sale Price, the Closing Bid Price, the Bid Price or fair market value or the arithmetic calculation of the Warrant Shares (as the case may be), the Company or the Holder (as the case may be) shall submit the disputed determinations or arithmetic calculations (as the case may be) via facsimile or PDF submitted by email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Closing Bid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or PDF submitted by email (a) the disputed arithmetic calculation of the Warrant Shares, the disputed determination of the Exercise Price, the Closing Sale Price, the Closing Bid Price, the Bid Price or fair market value (as the case may be) to an independent, reputable investment bank selected by the Holder, with the consent of the Company (which may not be unreasonably withheld, conditioned or delayed), or (b) if acceptable to the Holder, the disputed arithmetic calculation of the Warrant Shares to the Company’s independent, outside accountant. The Company shall, at its expense, cause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fees and expenses of such investment bank or accountant shall be borne by the parties in the same proportion as the respective amounts by which the investment bank’s or accountant’s determination differs from such party’s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REMEDIES, CHARACTERIZATION, OTHER OBLIGATIONS, BREACHES AND INJUNCTIVE RELIEF</w:t>
      </w:r>
      <w:r>
        <w:rPr>
          <w:rFonts w:ascii="Times New Roman;Times;Serif" w:hAnsi="Times New Roman;Times;Serif"/>
          <w:b w:val="false"/>
          <w:i w:val="false"/>
          <w:caps w:val="false"/>
          <w:smallCaps w:val="false"/>
          <w:sz w:val="20"/>
        </w:rPr>
        <w:t xml:space="preserve">.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as contemplated hereby upon the exercise of this Warrant shall be made without charge to the Holder or such shares for any issuance tax or other costs in respect thereof,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pay any tax which may be payable in respect of any transfer involved in the issuance and delivery of any certificate in a name other than the Holder or its agent on its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may be offered for sale, sold, transferred or assigned without the consent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113"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Bid Price</w:t>
      </w:r>
      <w:r>
        <w:rPr>
          <w:rFonts w:ascii="Times New Roman;Times;Serif" w:hAnsi="Times New Roman;Times;Serif"/>
          <w:b w:val="false"/>
          <w:i w:val="false"/>
          <w:caps w:val="false"/>
          <w:smallCaps w:val="false"/>
          <w:sz w:val="20"/>
        </w:rPr>
        <w:t>” means, for any security as of the particular time of determination,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Black Scholes value of an option for one share of Common Stock at the date of the applicable Cashless Exercise, as such Black Scholes value is determined, calculated using the Black Scholes Option Pricing Model obtained from the “OV” function on Bloomberg utilizing (i) an underlying price per share equal to the Exercise Price, as adjusted, (ii) a risk-free interest rate corresponding to the U.S. Treasury rate, (iii) a strike price equal to the Exercise Price in effect at the time of the applicable Cashless Exercise, (iv) an expected volatility equal to 175%, and (v) a deemed remaining term of the Warrant of five (5) years (regardless of the actual remaining term of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Black Scholes Value – Consideration</w:t>
      </w:r>
      <w:r>
        <w:rPr>
          <w:rFonts w:ascii="Times New Roman;Times;Serif" w:hAnsi="Times New Roman;Times;Serif"/>
          <w:b w:val="false"/>
          <w:i w:val="false"/>
          <w:caps w:val="false"/>
          <w:smallCaps w:val="false"/>
          <w:sz w:val="20"/>
        </w:rPr>
        <w:t>” means the value of the applicable Option or Convertible Security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or Convertible Security (as the case may be) as of the date of issuance of such Option or Convertible Security (as the case may be) and (iii) an expected volatility equal to the greater of 100% and the 100 day volatility obtained from the HVT function on Bloomberg (determined utilizing a 365 day annualization factor) as of the Trading Day immediately following the date of issuance of such Option or Convertible Security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Black Scholes Value – FT</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(A) the highest Closing Sale Price of the Common Stock during the period beginning on the Trading Day immediately preceding the earliest to occur of (1) the public disclosure of the applicable Fundamental Transaction, (2) the consummation of the applicable Fundamental Transaction and (3) the date on which the Holder first became aware of the applicable Fundamental Transaction and ending on the Trading Day of the Holder’s request pursuant to Section 4(c) and (B)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(A) the remaining term of this Warrant as of the date of the Holder’s request pursuant to Section 4(c) and (B)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175% and the 100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other day on which commercial banks in New York, New York are authorized or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means the Company’s certificate of incorporation, as amended, filed with the Secretary of State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the last closing trade price, respectively, for such security on the principal securities exchange or trading market where such security is listed or traded as reported by Bloomberg, or if the foregoing do not apply, the average of the bid prices, or the ask prices, respectively, of all of the market makers for such security as reported in the “pink sheets” by OTC Markets Group Inc. (formerly Pink Sheets LLC).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par value $0.001 per share, of the Company and any other shares of stock issued or issuable with respect thereto (whether by way of a stock dividend or stock split or in exchange for or upon conversion of such shares or otherwise in connection with a combination of shares, distribution, recapitalization, merger, consolidation, other corporate reorganization or other similar event with respect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capital stock or other security of the Company that is at any time and under any circumstances directly or indirectly convertible into, exercisable or exchangeable for, or which otherwise entitles the holder thereof to acquire, any capital stock or other security of the Company (including, without limitation,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(NYSE), the NYSE Amex, the Nasdaq Global Select Market, the Nasdaq Global Market or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[__], 2031</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or, if such date falls on a day other than a Business Day or on which trading does not take place on the principal securities exchange or trading market where the Common Stock is listed (a “</w:t>
      </w:r>
      <w:r>
        <w:rPr>
          <w:rFonts w:ascii="Times New Roman;Times;Serif" w:hAnsi="Times New Roman;Times;Serif"/>
          <w:b/>
          <w:i w:val="false"/>
          <w:caps w:val="false"/>
          <w:smallCaps w:val="false"/>
          <w:sz w:val="20"/>
        </w:rPr>
        <w:t>Holiday”</w:t>
      </w:r>
      <w:r>
        <w:rPr>
          <w:rFonts w:ascii="Times New Roman;Times;Serif" w:hAnsi="Times New Roman;Times;Serif"/>
          <w:b w:val="false"/>
          <w:i w:val="false"/>
          <w:caps w:val="false"/>
          <w:smallCaps w:val="false"/>
          <w:sz w:val="20"/>
        </w:rPr>
        <w:t>), the next date that is not a Holiday.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that (i) the Company shall, directly or indirectly, in one or more related transactions, (1) consolidate or merge with or into (whether or not the Company is the surviving entity) any other Person unless the shareholders of the Company immediately prior to such consolidation or merger continue to hold more than 50% of the outstanding shares of Voting Stock after such consolidation or merger, or (2) sell, lease, license, assign, transfer, convey or otherwise dispose of all or substantially all of its properties or assets to any other Person, in connection with which the Company is dissolved,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(ii) any “person” or “group” (as these terms are used for purposes of Sections 13(d) and 14(d) of the Exchange Act and the rules and regulations promulgated thereunder) is or shall become the “beneficial owner” (as defined in Rule 13d-3 under the Exchange Act), directly or indirectly, of more than 50% of the aggregate ordinary voting power represented by issued and outstanding Voting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Common Stock or Convertible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4413" w:type="dxa"/>
        <w:jc w:val="left"/>
        <w:tblInd w:w="0" w:type="dxa"/>
        <w:tblLayout w:type="fixed"/>
        <w:tblCellMar>
          <w:top w:w="0" w:type="dxa"/>
          <w:left w:w="0" w:type="dxa"/>
          <w:bottom w:w="0" w:type="dxa"/>
          <w:right w:w="0" w:type="dxa"/>
        </w:tblCellMar>
      </w:tblPr>
      <w:tblGrid>
        <w:gridCol w:w="38"/>
        <w:gridCol w:w="125"/>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4250" w:type="dxa"/>
            <w:tcBorders/>
            <w:vAlign w:val="center"/>
          </w:tcPr>
          <w:p>
            <w:pPr>
              <w:pStyle w:val="TableContents"/>
              <w:bidi w:val="0"/>
              <w:spacing w:before="0" w:after="283"/>
              <w:jc w:val="both"/>
              <w:rPr/>
            </w:pPr>
            <w:r>
              <w:rPr/>
              <w:t>Insert date that is 5 years from the issue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as applicable, (x) with respect to all price determinations relating to the Common Stock, any day on which the Common Stock is traded on the principal securities exchange or securities market on which the Common Stock is then traded,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three highest closing bid prices and the three lowest closing ask prices of all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113"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caused this Warrant to Purchase Common Stock to be duly executed as of the Issuance Date set out above.</w:t>
      </w:r>
    </w:p>
    <w:p>
      <w:pPr>
        <w:pStyle w:val="TextBody"/>
        <w:bidi w:val="0"/>
        <w:spacing w:before="0" w:after="0"/>
        <w:ind w:left="0" w:right="0" w:hanging="0"/>
        <w:jc w:val="left"/>
        <w:rPr>
          <w:caps w:val="false"/>
          <w:smallCaps w:val="false"/>
        </w:rPr>
      </w:pPr>
      <w:r>
        <w:rPr>
          <w:caps w:val="false"/>
          <w:smallCaps w:val="false"/>
        </w:rPr>
        <w:t> </w:t>
      </w:r>
    </w:p>
    <w:tbl>
      <w:tblPr>
        <w:tblW w:w="2524" w:type="dxa"/>
        <w:jc w:val="left"/>
        <w:tblInd w:w="0" w:type="dxa"/>
        <w:tblLayout w:type="fixed"/>
        <w:tblCellMar>
          <w:top w:w="0" w:type="dxa"/>
          <w:left w:w="0" w:type="dxa"/>
          <w:bottom w:w="0" w:type="dxa"/>
          <w:right w:w="0" w:type="dxa"/>
        </w:tblCellMar>
      </w:tblPr>
      <w:tblGrid>
        <w:gridCol w:w="1535"/>
        <w:gridCol w:w="914"/>
        <w:gridCol w:w="75"/>
      </w:tblGrid>
      <w:tr>
        <w:trPr/>
        <w:tc>
          <w:tcPr>
            <w:tcW w:w="2449" w:type="dxa"/>
            <w:gridSpan w:val="2"/>
            <w:tcBorders/>
            <w:vAlign w:val="center"/>
          </w:tcPr>
          <w:p>
            <w:pPr>
              <w:pStyle w:val="TableContents"/>
              <w:bidi w:val="0"/>
              <w:spacing w:before="0" w:after="283"/>
              <w:jc w:val="left"/>
              <w:rPr>
                <w:b/>
              </w:rPr>
            </w:pPr>
            <w:r>
              <w:rPr>
                <w:b/>
              </w:rPr>
              <w:t>VIVOSIM LABS, INC.</w:t>
            </w:r>
          </w:p>
        </w:tc>
        <w:tc>
          <w:tcPr>
            <w:tcW w:w="75" w:type="dxa"/>
            <w:tcBorders/>
            <w:vAlign w:val="center"/>
          </w:tcPr>
          <w:p>
            <w:pPr>
              <w:pStyle w:val="TableContents"/>
              <w:bidi w:val="0"/>
              <w:spacing w:before="0" w:after="283"/>
              <w:jc w:val="left"/>
              <w:rPr/>
            </w:pPr>
            <w:r>
              <w:rPr/>
              <w:t> </w:t>
            </w:r>
          </w:p>
        </w:tc>
      </w:tr>
      <w:tr>
        <w:trPr/>
        <w:tc>
          <w:tcPr>
            <w:tcW w:w="24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By:</w:t>
            </w:r>
          </w:p>
        </w:tc>
        <w:tc>
          <w:tcPr>
            <w:tcW w:w="9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Name:</w:t>
            </w:r>
          </w:p>
        </w:tc>
        <w:tc>
          <w:tcPr>
            <w:tcW w:w="9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Title:</w:t>
            </w:r>
          </w:p>
        </w:tc>
        <w:tc>
          <w:tcPr>
            <w:tcW w:w="9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EXECUTED BY THE REGISTERED HOLDER TO EXERCISE THIS 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VIVOSIM LABS,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exercises the right to purchase ________ shares of the Common Stock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of VivoSim Labs,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evidenced by Warrant to Purchase Common Stock No. ___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Capitalized terms used herein and not otherwise defined shall have the respective meanings set forth in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of Exercise Price. The Holder intends that payment of the Exercise Price shall be made as:</w:t>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595"/>
        <w:gridCol w:w="60"/>
        <w:gridCol w:w="7055"/>
      </w:tblGrid>
      <w:tr>
        <w:trPr/>
        <w:tc>
          <w:tcPr>
            <w:tcW w:w="1595" w:type="dxa"/>
            <w:tcBorders/>
            <w:vAlign w:val="center"/>
          </w:tcPr>
          <w:p>
            <w:pPr>
              <w:pStyle w:val="TableContents"/>
              <w:bidi w:val="0"/>
              <w:spacing w:before="0" w:after="283"/>
              <w:jc w:val="center"/>
              <w:rPr/>
            </w:pPr>
            <w:r>
              <w:rPr/>
              <w:t>_____________</w:t>
            </w:r>
          </w:p>
        </w:tc>
        <w:tc>
          <w:tcPr>
            <w:tcW w:w="60" w:type="dxa"/>
            <w:tcBorders/>
            <w:vAlign w:val="center"/>
          </w:tcPr>
          <w:p>
            <w:pPr>
              <w:pStyle w:val="TableContents"/>
              <w:bidi w:val="0"/>
              <w:spacing w:before="0" w:after="283"/>
              <w:jc w:val="both"/>
              <w:rPr/>
            </w:pPr>
            <w:r>
              <w:rPr/>
              <w:t> </w:t>
            </w:r>
          </w:p>
        </w:tc>
        <w:tc>
          <w:tcPr>
            <w:tcW w:w="7055" w:type="dxa"/>
            <w:tcBorders/>
            <w:vAlign w:val="center"/>
          </w:tcPr>
          <w:p>
            <w:pPr>
              <w:pStyle w:val="TableContents"/>
              <w:bidi w:val="0"/>
              <w:spacing w:before="0" w:after="283"/>
              <w:jc w:val="both"/>
              <w:rPr/>
            </w:pPr>
            <w:r>
              <w:rPr/>
              <w:t>a “</w:t>
            </w:r>
            <w:r>
              <w:rPr>
                <w:u w:val="single"/>
              </w:rPr>
              <w:t>Cash Exercise</w:t>
            </w:r>
            <w:r>
              <w:rPr/>
              <w:t>” with respect to _____________ Warrant Shares; and/or</w:t>
            </w:r>
          </w:p>
        </w:tc>
      </w:tr>
      <w:tr>
        <w:trPr/>
        <w:tc>
          <w:tcPr>
            <w:tcW w:w="1595" w:type="dxa"/>
            <w:tcBorders/>
            <w:vAlign w:val="center"/>
          </w:tcPr>
          <w:p>
            <w:pPr>
              <w:pStyle w:val="TableContents"/>
              <w:bidi w:val="0"/>
              <w:spacing w:before="0" w:after="283"/>
              <w:jc w:val="center"/>
              <w:rPr/>
            </w:pPr>
            <w:r>
              <w:rPr/>
              <w:t>_____________</w:t>
            </w:r>
          </w:p>
        </w:tc>
        <w:tc>
          <w:tcPr>
            <w:tcW w:w="60" w:type="dxa"/>
            <w:tcBorders/>
            <w:vAlign w:val="center"/>
          </w:tcPr>
          <w:p>
            <w:pPr>
              <w:pStyle w:val="TableContents"/>
              <w:bidi w:val="0"/>
              <w:spacing w:before="0" w:after="283"/>
              <w:jc w:val="both"/>
              <w:rPr/>
            </w:pPr>
            <w:r>
              <w:rPr/>
              <w:t> </w:t>
            </w:r>
          </w:p>
        </w:tc>
        <w:tc>
          <w:tcPr>
            <w:tcW w:w="7055" w:type="dxa"/>
            <w:tcBorders/>
            <w:vAlign w:val="center"/>
          </w:tcPr>
          <w:p>
            <w:pPr>
              <w:pStyle w:val="TableContents"/>
              <w:bidi w:val="0"/>
              <w:spacing w:before="0" w:after="283"/>
              <w:jc w:val="both"/>
              <w:rPr/>
            </w:pPr>
            <w:r>
              <w:rPr/>
              <w:t>a “</w:t>
            </w:r>
            <w:r>
              <w:rPr>
                <w:u w:val="single"/>
              </w:rPr>
              <w:t>Cashless Exercise</w:t>
            </w:r>
            <w:r>
              <w:rPr/>
              <w:t>” with respect to _____________ Warrant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Holder has elected a Cashless Exercise with respect to some or all of the Warrant Shares, the Holder represents and warrants that </w:t>
      </w:r>
      <w:r>
        <w:rPr>
          <w:rFonts w:ascii="Times New Roman;Times;Serif" w:hAnsi="Times New Roman;Times;Serif"/>
          <w:b w:val="false"/>
          <w:i w:val="false"/>
          <w:caps w:val="false"/>
          <w:smallCaps w:val="false"/>
          <w:sz w:val="20"/>
          <w:u w:val="single"/>
        </w:rPr>
        <w:t>________</w:t>
      </w:r>
      <w:r>
        <w:rPr>
          <w:rFonts w:ascii="Times New Roman;Times;Serif" w:hAnsi="Times New Roman;Times;Serif"/>
          <w:b w:val="false"/>
          <w:i w:val="false"/>
          <w:caps w:val="false"/>
          <w:smallCaps w:val="false"/>
          <w:sz w:val="20"/>
        </w:rPr>
        <w:t xml:space="preserve"> Common Stock are to be delivered pursuant to such Cashless Exercise, as further specified in Annex A to this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2 .  </w:t>
      </w:r>
      <w:r>
        <w:rPr>
          <w:rFonts w:ascii="Times New Roman;Times;Serif" w:hAnsi="Times New Roman;Times;Serif"/>
          <w:b w:val="false"/>
          <w:i w:val="false"/>
          <w:caps w:val="false"/>
          <w:smallCaps w:val="false"/>
          <w:sz w:val="20"/>
          <w:u w:val="single"/>
        </w:rPr>
        <w:t>Pa</w:t>
      </w: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sz w:val="20"/>
          <w:u w:val="single"/>
        </w:rPr>
        <w:t>ment of Exercise Price</w:t>
      </w:r>
      <w:r>
        <w:rPr>
          <w:rFonts w:ascii="Times New Roman;Times;Serif" w:hAnsi="Times New Roman;Times;Serif"/>
          <w:b w:val="false"/>
          <w:i w:val="false"/>
          <w:caps w:val="false"/>
          <w:smallCaps w:val="false"/>
          <w:sz w:val="20"/>
        </w:rPr>
        <w:t>. In the event that the Holder has elected a Cash Exercise with respect to some or all of the Warrant Shares, the Holder shall pay the Aggregate Exercise Price in the sum of $</w:t>
      </w:r>
      <w:r>
        <w:rPr>
          <w:rFonts w:ascii="Times New Roman;Times;Serif" w:hAnsi="Times New Roman;Times;Serif"/>
          <w:b w:val="false"/>
          <w:i w:val="false"/>
          <w:caps w:val="false"/>
          <w:smallCaps w:val="false"/>
          <w:sz w:val="20"/>
          <w:u w:val="single"/>
        </w:rPr>
        <w:t>________</w:t>
      </w:r>
      <w:r>
        <w:rPr>
          <w:rFonts w:ascii="Times New Roman;Times;Serif" w:hAnsi="Times New Roman;Times;Serif"/>
          <w:b w:val="false"/>
          <w:i w:val="false"/>
          <w:caps w:val="false"/>
          <w:smallCaps w:val="false"/>
          <w:sz w:val="20"/>
        </w:rPr>
        <w:t xml:space="preserve"> to the Company in accordance with the terms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Deliver</w:t>
      </w: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of Warrant Shares and Net Number of Common Stock</w:t>
      </w:r>
      <w:r>
        <w:rPr>
          <w:rFonts w:ascii="Times New Roman;Times;Serif" w:hAnsi="Times New Roman;Times;Serif"/>
          <w:b w:val="false"/>
          <w:i w:val="false"/>
          <w:caps w:val="false"/>
          <w:smallCaps w:val="false"/>
          <w:sz w:val="20"/>
        </w:rPr>
        <w:t xml:space="preserve">. The Company shall deliver to Holder, or its designee or agent as specified below, </w:t>
      </w:r>
      <w:r>
        <w:rPr>
          <w:rFonts w:ascii="Times New Roman;Times;Serif" w:hAnsi="Times New Roman;Times;Serif"/>
          <w:b w:val="false"/>
          <w:i w:val="false"/>
          <w:caps w:val="false"/>
          <w:smallCaps w:val="false"/>
          <w:sz w:val="20"/>
          <w:u w:val="single"/>
        </w:rPr>
        <w:t>________</w:t>
      </w:r>
      <w:r>
        <w:rPr>
          <w:rFonts w:ascii="Times New Roman;Times;Serif" w:hAnsi="Times New Roman;Times;Serif"/>
          <w:b w:val="false"/>
          <w:i w:val="false"/>
          <w:caps w:val="false"/>
          <w:smallCaps w:val="false"/>
          <w:sz w:val="20"/>
        </w:rPr>
        <w:t xml:space="preserve"> Common Stock in respect of the exercise contemplated hereby. Delivery shall be made to Holder, or for its benefit, to the following address:</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10" w:type="dxa"/>
        <w:jc w:val="left"/>
        <w:tblInd w:w="0" w:type="dxa"/>
        <w:tblLayout w:type="fixed"/>
        <w:tblCellMar>
          <w:top w:w="0" w:type="dxa"/>
          <w:left w:w="0" w:type="dxa"/>
          <w:bottom w:w="0" w:type="dxa"/>
          <w:right w:w="0" w:type="dxa"/>
        </w:tblCellMar>
      </w:tblPr>
      <w:tblGrid>
        <w:gridCol w:w="2810"/>
      </w:tblGrid>
      <w:tr>
        <w:trPr/>
        <w:tc>
          <w:tcPr>
            <w:tcW w:w="2810" w:type="dxa"/>
            <w:tcBorders/>
            <w:vAlign w:val="center"/>
          </w:tcPr>
          <w:p>
            <w:pPr>
              <w:pStyle w:val="TableContents"/>
              <w:bidi w:val="0"/>
              <w:spacing w:before="0" w:after="283"/>
              <w:jc w:val="left"/>
              <w:rPr/>
            </w:pPr>
            <w:r>
              <w:rPr/>
              <w:t>Date:  ________, ________</w:t>
            </w:r>
          </w:p>
        </w:tc>
      </w:tr>
      <w:tr>
        <w:trPr/>
        <w:tc>
          <w:tcPr>
            <w:tcW w:w="281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_______________________</w:t>
            </w:r>
          </w:p>
        </w:tc>
      </w:tr>
      <w:tr>
        <w:trPr/>
        <w:tc>
          <w:tcPr>
            <w:tcW w:w="2810" w:type="dxa"/>
            <w:tcBorders/>
            <w:vAlign w:val="center"/>
          </w:tcPr>
          <w:p>
            <w:pPr>
              <w:pStyle w:val="TableContents"/>
              <w:bidi w:val="0"/>
              <w:spacing w:before="0" w:after="283"/>
              <w:jc w:val="left"/>
              <w:rPr/>
            </w:pPr>
            <w:r>
              <w:rPr/>
              <w:t>Name of Registered Holder</w:t>
            </w:r>
          </w:p>
        </w:tc>
      </w:tr>
    </w:tbl>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80"/>
        <w:gridCol w:w="650"/>
        <w:gridCol w:w="75"/>
      </w:tblGrid>
      <w:tr>
        <w:trPr/>
        <w:tc>
          <w:tcPr>
            <w:tcW w:w="380" w:type="dxa"/>
            <w:tcBorders/>
            <w:vAlign w:val="center"/>
          </w:tcPr>
          <w:p>
            <w:pPr>
              <w:pStyle w:val="TableContents"/>
              <w:bidi w:val="0"/>
              <w:spacing w:before="0" w:after="283"/>
              <w:jc w:val="left"/>
              <w:rPr/>
            </w:pPr>
            <w:r>
              <w:rPr/>
              <w:t>By:</w:t>
            </w:r>
          </w:p>
        </w:tc>
        <w:tc>
          <w:tcPr>
            <w:tcW w:w="65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564" w:type="dxa"/>
        <w:jc w:val="left"/>
        <w:tblInd w:w="0" w:type="dxa"/>
        <w:tblLayout w:type="fixed"/>
        <w:tblCellMar>
          <w:top w:w="0" w:type="dxa"/>
          <w:left w:w="0" w:type="dxa"/>
          <w:bottom w:w="0" w:type="dxa"/>
          <w:right w:w="0" w:type="dxa"/>
        </w:tblCellMar>
      </w:tblPr>
      <w:tblGrid>
        <w:gridCol w:w="3778"/>
        <w:gridCol w:w="3786"/>
      </w:tblGrid>
      <w:tr>
        <w:trPr/>
        <w:tc>
          <w:tcPr>
            <w:tcW w:w="7564" w:type="dxa"/>
            <w:gridSpan w:val="2"/>
            <w:tcBorders/>
            <w:vAlign w:val="center"/>
          </w:tcPr>
          <w:p>
            <w:pPr>
              <w:pStyle w:val="TableContents"/>
              <w:bidi w:val="0"/>
              <w:spacing w:before="0" w:after="283"/>
              <w:jc w:val="left"/>
              <w:rPr/>
            </w:pPr>
            <w:r>
              <w:rPr/>
              <w:t>Account Number: (if electronic book entry transfer) Transaction Code Number:</w:t>
            </w:r>
          </w:p>
        </w:tc>
      </w:tr>
      <w:tr>
        <w:trPr/>
        <w:tc>
          <w:tcPr>
            <w:tcW w:w="3778" w:type="dxa"/>
            <w:tcBorders/>
            <w:vAlign w:val="center"/>
          </w:tcPr>
          <w:p>
            <w:pPr>
              <w:pStyle w:val="TableContents"/>
              <w:bidi w:val="0"/>
              <w:spacing w:before="0" w:after="283"/>
              <w:jc w:val="left"/>
              <w:rPr/>
            </w:pPr>
            <w:r>
              <w:rPr/>
              <w:t> </w:t>
            </w:r>
          </w:p>
        </w:tc>
        <w:tc>
          <w:tcPr>
            <w:tcW w:w="3786" w:type="dxa"/>
            <w:tcBorders/>
            <w:vAlign w:val="center"/>
          </w:tcPr>
          <w:p>
            <w:pPr>
              <w:pStyle w:val="TableContents"/>
              <w:bidi w:val="0"/>
              <w:spacing w:before="0" w:after="283"/>
              <w:jc w:val="left"/>
              <w:rPr/>
            </w:pPr>
            <w:r>
              <w:rPr/>
              <w:t> </w:t>
            </w:r>
          </w:p>
        </w:tc>
      </w:tr>
      <w:tr>
        <w:trPr/>
        <w:tc>
          <w:tcPr>
            <w:tcW w:w="7564" w:type="dxa"/>
            <w:gridSpan w:val="2"/>
            <w:tcBorders/>
            <w:vAlign w:val="center"/>
          </w:tcPr>
          <w:p>
            <w:pPr>
              <w:pStyle w:val="TableContents"/>
              <w:bidi w:val="0"/>
              <w:spacing w:before="0" w:after="283"/>
              <w:jc w:val="left"/>
              <w:rPr/>
            </w:pPr>
            <w:r>
              <w:rPr/>
              <w:t>Transaction Code Number: (if electronic book entry transfer)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TO 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CASHLESS EXERCISE EXCHANGE CALCULATION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FILLED IN BY THE REGISTERED HOLDER TO EXCHANGE THE WARRANT TO PURCHASE COMMON STOCK IN A CASHLESS EXERCISE PURSUANT TO SECTION 1(d)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57" w:right="0" w:hanging="12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shall have the respective meanings set forth in the Warrant.</w:t>
      </w:r>
    </w:p>
    <w:p>
      <w:pPr>
        <w:pStyle w:val="TextBody"/>
        <w:bidi w:val="0"/>
        <w:spacing w:before="0" w:after="0"/>
        <w:ind w:left="1357" w:right="0" w:hanging="1244"/>
        <w:jc w:val="both"/>
        <w:rPr>
          <w:caps w:val="false"/>
          <w:smallCaps w:val="false"/>
        </w:rPr>
      </w:pPr>
      <w:r>
        <w:rPr>
          <w:caps w:val="false"/>
          <w:smallCaps w:val="false"/>
        </w:rPr>
        <w:t> </w:t>
      </w:r>
    </w:p>
    <w:p>
      <w:pPr>
        <w:pStyle w:val="TextBody"/>
        <w:bidi w:val="0"/>
        <w:spacing w:before="0" w:after="0"/>
        <w:ind w:left="135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Net Number = (A x B)/C =     shares of Common Stock</w:t>
      </w:r>
    </w:p>
    <w:p>
      <w:pPr>
        <w:pStyle w:val="TextBody"/>
        <w:bidi w:val="0"/>
        <w:spacing w:before="0" w:after="0"/>
        <w:ind w:left="1357" w:right="0" w:hanging="0"/>
        <w:jc w:val="left"/>
        <w:rPr>
          <w:caps w:val="false"/>
          <w:smallCaps w:val="false"/>
        </w:rPr>
      </w:pPr>
      <w:r>
        <w:rPr>
          <w:caps w:val="false"/>
          <w:smallCaps w:val="false"/>
        </w:rPr>
        <w:t> </w:t>
      </w:r>
    </w:p>
    <w:p>
      <w:pPr>
        <w:pStyle w:val="TextBody"/>
        <w:bidi w:val="0"/>
        <w:spacing w:before="0" w:after="0"/>
        <w:ind w:left="135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5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the total number of shares with respect to which the Warrant is then being exercised =.</w:t>
      </w:r>
    </w:p>
    <w:p>
      <w:pPr>
        <w:pStyle w:val="TextBody"/>
        <w:bidi w:val="0"/>
        <w:spacing w:before="0" w:after="0"/>
        <w:ind w:left="1357" w:right="0" w:hanging="0"/>
        <w:jc w:val="left"/>
        <w:rPr>
          <w:caps w:val="false"/>
          <w:smallCaps w:val="false"/>
        </w:rPr>
      </w:pPr>
      <w:r>
        <w:rPr>
          <w:caps w:val="false"/>
          <w:smallCaps w:val="false"/>
        </w:rPr>
        <w:t> </w:t>
      </w:r>
    </w:p>
    <w:p>
      <w:pPr>
        <w:pStyle w:val="TextBody"/>
        <w:bidi w:val="0"/>
        <w:spacing w:before="0" w:after="0"/>
        <w:ind w:left="135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Black Scholes Value (as defined in Section 16 of the Warrant) =.</w:t>
      </w:r>
    </w:p>
    <w:p>
      <w:pPr>
        <w:pStyle w:val="TextBody"/>
        <w:bidi w:val="0"/>
        <w:spacing w:before="0" w:after="0"/>
        <w:ind w:left="1357" w:right="0" w:hanging="0"/>
        <w:jc w:val="left"/>
        <w:rPr>
          <w:caps w:val="false"/>
          <w:smallCaps w:val="false"/>
        </w:rPr>
      </w:pPr>
      <w:r>
        <w:rPr>
          <w:caps w:val="false"/>
          <w:smallCaps w:val="false"/>
        </w:rPr>
        <w:t> </w:t>
      </w:r>
    </w:p>
    <w:p>
      <w:pPr>
        <w:pStyle w:val="TextBody"/>
        <w:bidi w:val="0"/>
        <w:spacing w:before="0" w:after="0"/>
        <w:ind w:left="135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lower of the two Closing Bid Prices of the Common Stock in the two days prior the time of such exercise (as such Closing Bid Price is defined in Section 16 of the Warrant) =.</w:t>
      </w:r>
    </w:p>
    <w:p>
      <w:pPr>
        <w:pStyle w:val="TextBody"/>
        <w:bidi w:val="0"/>
        <w:spacing w:before="0" w:after="0"/>
        <w:ind w:left="0" w:right="0" w:hanging="0"/>
        <w:jc w:val="left"/>
        <w:rPr>
          <w:caps w:val="false"/>
          <w:smallCaps w:val="false"/>
        </w:rPr>
      </w:pPr>
      <w:r>
        <w:rPr>
          <w:caps w:val="false"/>
          <w:smallCaps w:val="false"/>
        </w:rPr>
        <w:t> </w:t>
      </w:r>
    </w:p>
    <w:tbl>
      <w:tblPr>
        <w:tblW w:w="2660" w:type="dxa"/>
        <w:jc w:val="left"/>
        <w:tblInd w:w="0" w:type="dxa"/>
        <w:tblLayout w:type="fixed"/>
        <w:tblCellMar>
          <w:top w:w="0" w:type="dxa"/>
          <w:left w:w="0" w:type="dxa"/>
          <w:bottom w:w="0" w:type="dxa"/>
          <w:right w:w="0" w:type="dxa"/>
        </w:tblCellMar>
      </w:tblPr>
      <w:tblGrid>
        <w:gridCol w:w="2660"/>
      </w:tblGrid>
      <w:tr>
        <w:trPr/>
        <w:tc>
          <w:tcPr>
            <w:tcW w:w="2660" w:type="dxa"/>
            <w:tcBorders/>
            <w:vAlign w:val="center"/>
          </w:tcPr>
          <w:p>
            <w:pPr>
              <w:pStyle w:val="TableContents"/>
              <w:bidi w:val="0"/>
              <w:spacing w:before="0" w:after="283"/>
              <w:jc w:val="left"/>
              <w:rPr/>
            </w:pPr>
            <w:r>
              <w:rPr/>
              <w:t>Date:  _____, _____</w:t>
            </w:r>
          </w:p>
        </w:tc>
      </w:tr>
      <w:tr>
        <w:trPr/>
        <w:tc>
          <w:tcPr>
            <w:tcW w:w="266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Name of Registered Holder</w:t>
            </w:r>
          </w:p>
        </w:tc>
      </w:tr>
    </w:tbl>
    <w:p>
      <w:pPr>
        <w:pStyle w:val="TextBody"/>
        <w:bidi w:val="0"/>
        <w:spacing w:before="0" w:after="0"/>
        <w:ind w:left="0" w:right="0" w:hanging="0"/>
        <w:jc w:val="left"/>
        <w:rPr>
          <w:caps w:val="false"/>
          <w:smallCaps w:val="false"/>
        </w:rPr>
      </w:pPr>
      <w:r>
        <w:rPr>
          <w:caps w:val="false"/>
          <w:smallCaps w:val="false"/>
        </w:rPr>
        <w:t> </w:t>
      </w:r>
    </w:p>
    <w:tbl>
      <w:tblPr>
        <w:tblW w:w="920" w:type="dxa"/>
        <w:jc w:val="left"/>
        <w:tblInd w:w="0" w:type="dxa"/>
        <w:tblLayout w:type="fixed"/>
        <w:tblCellMar>
          <w:top w:w="0" w:type="dxa"/>
          <w:left w:w="0" w:type="dxa"/>
          <w:bottom w:w="0" w:type="dxa"/>
          <w:right w:w="0" w:type="dxa"/>
        </w:tblCellMar>
      </w:tblPr>
      <w:tblGrid>
        <w:gridCol w:w="785"/>
        <w:gridCol w:w="60"/>
        <w:gridCol w:w="75"/>
      </w:tblGrid>
      <w:tr>
        <w:trPr/>
        <w:tc>
          <w:tcPr>
            <w:tcW w:w="785" w:type="dxa"/>
            <w:tcBorders/>
            <w:vAlign w:val="center"/>
          </w:tcPr>
          <w:p>
            <w:pPr>
              <w:pStyle w:val="TableContents"/>
              <w:bidi w:val="0"/>
              <w:spacing w:before="0" w:after="283"/>
              <w:jc w:val="left"/>
              <w:rPr/>
            </w:pPr>
            <w:r>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xml:space="preserve">Name: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to issue the above indicated number of shares of Common Stock in accordance with the Transfer Agent Instructions dated , 20 , from the Company and acknowledged and agreed to by  .</w:t>
      </w:r>
    </w:p>
    <w:p>
      <w:pPr>
        <w:pStyle w:val="TextBody"/>
        <w:bidi w:val="0"/>
        <w:spacing w:before="0" w:after="0"/>
        <w:ind w:left="113" w:right="0" w:firstLine="1667"/>
        <w:jc w:val="left"/>
        <w:rPr>
          <w:caps w:val="false"/>
          <w:smallCaps w:val="false"/>
        </w:rPr>
      </w:pPr>
      <w:r>
        <w:rPr>
          <w:caps w:val="false"/>
          <w:smallCaps w:val="false"/>
        </w:rPr>
        <w:t> </w:t>
      </w:r>
    </w:p>
    <w:tbl>
      <w:tblPr>
        <w:tblW w:w="2524" w:type="dxa"/>
        <w:jc w:val="left"/>
        <w:tblInd w:w="0" w:type="dxa"/>
        <w:tblLayout w:type="fixed"/>
        <w:tblCellMar>
          <w:top w:w="0" w:type="dxa"/>
          <w:left w:w="0" w:type="dxa"/>
          <w:bottom w:w="0" w:type="dxa"/>
          <w:right w:w="0" w:type="dxa"/>
        </w:tblCellMar>
      </w:tblPr>
      <w:tblGrid>
        <w:gridCol w:w="2228"/>
        <w:gridCol w:w="221"/>
        <w:gridCol w:w="75"/>
      </w:tblGrid>
      <w:tr>
        <w:trPr/>
        <w:tc>
          <w:tcPr>
            <w:tcW w:w="2449" w:type="dxa"/>
            <w:gridSpan w:val="2"/>
            <w:tcBorders/>
            <w:vAlign w:val="center"/>
          </w:tcPr>
          <w:p>
            <w:pPr>
              <w:pStyle w:val="TableContents"/>
              <w:bidi w:val="0"/>
              <w:spacing w:before="0" w:after="283"/>
              <w:jc w:val="left"/>
              <w:rPr>
                <w:b/>
              </w:rPr>
            </w:pPr>
            <w:r>
              <w:rPr>
                <w:b/>
              </w:rPr>
              <w:t>VIVOSIM LABS, INC.</w:t>
            </w:r>
          </w:p>
        </w:tc>
        <w:tc>
          <w:tcPr>
            <w:tcW w:w="75" w:type="dxa"/>
            <w:tcBorders/>
            <w:vAlign w:val="center"/>
          </w:tcPr>
          <w:p>
            <w:pPr>
              <w:pStyle w:val="TableContents"/>
              <w:bidi w:val="0"/>
              <w:spacing w:before="0" w:after="283"/>
              <w:jc w:val="left"/>
              <w:rPr/>
            </w:pPr>
            <w:r>
              <w:rPr/>
              <w:t> </w:t>
            </w:r>
          </w:p>
        </w:tc>
      </w:tr>
      <w:tr>
        <w:trPr/>
        <w:tc>
          <w:tcPr>
            <w:tcW w:w="24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28" w:type="dxa"/>
            <w:tcBorders/>
            <w:vAlign w:val="center"/>
          </w:tcPr>
          <w:p>
            <w:pPr>
              <w:pStyle w:val="TableContents"/>
              <w:bidi w:val="0"/>
              <w:spacing w:before="0" w:after="283"/>
              <w:jc w:val="left"/>
              <w:rPr/>
            </w:pPr>
            <w:r>
              <w:rPr/>
              <w:t>By:</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28" w:type="dxa"/>
            <w:tcBorders/>
            <w:vAlign w:val="center"/>
          </w:tcPr>
          <w:p>
            <w:pPr>
              <w:pStyle w:val="TableContents"/>
              <w:bidi w:val="0"/>
              <w:spacing w:before="0" w:after="283"/>
              <w:jc w:val="left"/>
              <w:rPr/>
            </w:pPr>
            <w:r>
              <w:rPr/>
              <w:t>Name:</w:t>
            </w:r>
          </w:p>
        </w:tc>
        <w:tc>
          <w:tcPr>
            <w:tcW w:w="2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28" w:type="dxa"/>
            <w:tcBorders/>
            <w:vAlign w:val="center"/>
          </w:tcPr>
          <w:p>
            <w:pPr>
              <w:pStyle w:val="TableContents"/>
              <w:bidi w:val="0"/>
              <w:spacing w:before="0" w:after="283"/>
              <w:jc w:val="left"/>
              <w:rPr/>
            </w:pPr>
            <w:r>
              <w:rPr/>
              <w:t>Title:</w:t>
            </w:r>
          </w:p>
        </w:tc>
        <w:tc>
          <w:tcPr>
            <w:tcW w:w="22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566" w:right="0" w:hanging="0"/>
        <w:jc w:val="left"/>
        <w:rPr>
          <w:caps w:val="false"/>
          <w:smallCaps w:val="false"/>
        </w:rPr>
      </w:pPr>
      <w:r>
        <w:rPr>
          <w:caps w:val="false"/>
          <w:smallCaps w:val="false"/>
        </w:rPr>
        <w:t> </w:t>
      </w:r>
    </w:p>
    <w:p>
      <w:pPr>
        <w:pStyle w:val="TextBody"/>
        <w:bidi w:val="0"/>
        <w:spacing w:before="0" w:after="0"/>
        <w:ind w:left="5566" w:right="0" w:hanging="0"/>
        <w:jc w:val="left"/>
        <w:rPr>
          <w:caps w:val="false"/>
          <w:smallCaps w:val="false"/>
        </w:rPr>
      </w:pPr>
      <w:r>
        <w:rPr>
          <w:caps w:val="false"/>
          <w:smallCaps w:val="false"/>
        </w:rPr>
        <w:t> </w:t>
      </w:r>
    </w:p>
    <w:p>
      <w:pPr>
        <w:pStyle w:val="TextBody"/>
        <w:bidi w:val="0"/>
        <w:ind w:left="0" w:right="0" w:hanging="0"/>
        <w:jc w:val="right"/>
        <w:rPr>
          <w:b/>
        </w:rPr>
      </w:pPr>
      <w:bookmarkStart w:id="26" w:name="ea028377701ex4-5.htm"/>
      <w:bookmarkStart w:id="27" w:name="ksea028377701ex45"/>
      <w:bookmarkEnd w:id="26"/>
      <w:bookmarkEnd w:id="27"/>
      <w:r>
        <w:rPr>
          <w:b/>
        </w:rPr>
        <w:t>Exhibit 4.5</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AGENT’S PURCHASE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VIVOSIM LABS, Inc.</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925"/>
        <w:gridCol w:w="2810"/>
      </w:tblGrid>
      <w:tr>
        <w:trPr/>
        <w:tc>
          <w:tcPr>
            <w:tcW w:w="1925" w:type="dxa"/>
            <w:tcBorders/>
            <w:vAlign w:val="center"/>
          </w:tcPr>
          <w:p>
            <w:pPr>
              <w:pStyle w:val="TableContents"/>
              <w:bidi w:val="0"/>
              <w:spacing w:before="0" w:after="283"/>
              <w:jc w:val="left"/>
              <w:rPr>
                <w:b/>
                <w:sz w:val="20"/>
              </w:rPr>
            </w:pPr>
            <w:r>
              <w:rPr>
                <w:b/>
                <w:sz w:val="20"/>
              </w:rPr>
              <w:t>Warrant Shares: [__]</w:t>
            </w:r>
            <w:r>
              <w:rPr>
                <w:b/>
                <w:position w:val="7"/>
                <w:sz w:val="16"/>
                <w:sz w:val="20"/>
              </w:rPr>
              <w:t>1</w:t>
            </w:r>
          </w:p>
        </w:tc>
        <w:tc>
          <w:tcPr>
            <w:tcW w:w="2810" w:type="dxa"/>
            <w:tcBorders/>
            <w:vAlign w:val="center"/>
          </w:tcPr>
          <w:p>
            <w:pPr>
              <w:pStyle w:val="TableContents"/>
              <w:bidi w:val="0"/>
              <w:spacing w:before="0" w:after="283"/>
              <w:jc w:val="right"/>
              <w:rPr>
                <w:b/>
                <w:sz w:val="20"/>
              </w:rPr>
            </w:pPr>
            <w:r>
              <w:rPr>
                <w:b/>
                <w:sz w:val="20"/>
              </w:rPr>
              <w:t>Initial Exercise Date: [__], 2026</w:t>
            </w:r>
            <w:r>
              <w:rPr>
                <w:b/>
                <w:position w:val="7"/>
                <w:sz w:val="16"/>
                <w:sz w:val="20"/>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Date: [__],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PLACEMENT AGENT’S PURCHASE WARRANT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Joseph Gunnar &amp; Co., LLC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referred to above as the Initial Exercise Date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[__], 2029</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VivoSim Labs,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 shares of common stock, $0.001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Company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 The purchase price of one share of Common Stock under this Warrant shall be equal to the Exercise Price, as defined in Section 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Placement Agency Agreement (the “</w:t>
      </w:r>
      <w:r>
        <w:rPr>
          <w:rFonts w:ascii="Times New Roman;Times;Serif" w:hAnsi="Times New Roman;Times;Serif"/>
          <w:b w:val="false"/>
          <w:i w:val="false"/>
          <w:caps w:val="false"/>
          <w:smallCaps w:val="false"/>
          <w:sz w:val="20"/>
          <w:u w:val="single"/>
        </w:rPr>
        <w:t>Placement Agency Agreement</w:t>
      </w:r>
      <w:r>
        <w:rPr>
          <w:rFonts w:ascii="Times New Roman;Times;Serif" w:hAnsi="Times New Roman;Times;Serif"/>
          <w:b w:val="false"/>
          <w:i w:val="false"/>
          <w:caps w:val="false"/>
          <w:smallCaps w:val="false"/>
          <w:sz w:val="20"/>
        </w:rPr>
        <w:t>”), dated [__], 2026, between the Company and Joseph Gunnar &amp; Co., LLC, as placement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Subject to Section 2(d) herein,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The Company shall have no obligation to inquire with respect to or otherwise confirm the authenticity of the signature(s) contained on any Notice of Exercise nor the authority of the person so executing such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0" w:type="dxa"/>
            <w:tcBorders/>
            <w:vAlign w:val="center"/>
          </w:tcPr>
          <w:p>
            <w:pPr>
              <w:pStyle w:val="TableContents"/>
              <w:bidi w:val="0"/>
              <w:spacing w:before="0" w:after="283"/>
              <w:jc w:val="left"/>
              <w:rPr/>
            </w:pPr>
            <w:r>
              <w:rPr/>
              <w:t>Insert number that equals 5% of the aggregate number of shares of common stock (or pre-funded warrants in lieu thereof) sold in the offering.</w:t>
            </w:r>
          </w:p>
        </w:tc>
      </w:tr>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50" w:type="dxa"/>
            <w:tcBorders/>
            <w:vAlign w:val="center"/>
          </w:tcPr>
          <w:p>
            <w:pPr>
              <w:pStyle w:val="TableContents"/>
              <w:bidi w:val="0"/>
              <w:spacing w:before="0" w:after="283"/>
              <w:jc w:val="left"/>
              <w:rPr/>
            </w:pPr>
            <w:r>
              <w:rPr/>
              <w:t>Insert date that is six months from the issue date.</w:t>
            </w:r>
          </w:p>
        </w:tc>
      </w:tr>
      <w:tr>
        <w:trPr/>
        <w:tc>
          <w:tcPr>
            <w:tcW w:w="155" w:type="dxa"/>
            <w:tcBorders/>
            <w:vAlign w:val="center"/>
          </w:tcPr>
          <w:p>
            <w:pPr>
              <w:pStyle w:val="TableContents"/>
              <w:bidi w:val="0"/>
              <w:spacing w:before="0" w:after="283"/>
              <w:jc w:val="left"/>
              <w:rPr/>
            </w:pPr>
            <w:r>
              <w:rPr/>
              <w:t>3</w:t>
            </w:r>
          </w:p>
        </w:tc>
        <w:tc>
          <w:tcPr>
            <w:tcW w:w="10050" w:type="dxa"/>
            <w:tcBorders/>
            <w:vAlign w:val="center"/>
          </w:tcPr>
          <w:p>
            <w:pPr>
              <w:pStyle w:val="TableContents"/>
              <w:bidi w:val="0"/>
              <w:spacing w:before="0" w:after="283"/>
              <w:jc w:val="left"/>
              <w:rPr/>
            </w:pPr>
            <w:r>
              <w:rPr/>
              <w:t>Insert date that is three years from the issue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$[__]</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there is no effective registration statement permitting the issuance of Warrant Shares to, or the resale of Warrant Shares by, the Holder, then this Warrant may also be exercised, in whole or in part,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0"/>
        <w:gridCol w:w="155"/>
        <w:gridCol w:w="9695"/>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(A)</w:t>
            </w:r>
          </w:p>
        </w:tc>
        <w:tc>
          <w:tcPr>
            <w:tcW w:w="155" w:type="dxa"/>
            <w:tcBorders/>
            <w:vAlign w:val="center"/>
          </w:tcPr>
          <w:p>
            <w:pPr>
              <w:pStyle w:val="TableContents"/>
              <w:bidi w:val="0"/>
              <w:spacing w:before="0" w:after="283"/>
              <w:jc w:val="center"/>
              <w:rPr/>
            </w:pPr>
            <w:r>
              <w:rPr/>
              <w:t>=</w:t>
            </w:r>
          </w:p>
        </w:tc>
        <w:tc>
          <w:tcPr>
            <w:tcW w:w="9695" w:type="dxa"/>
            <w:tcBorders/>
            <w:vAlign w:val="center"/>
          </w:tcPr>
          <w:p>
            <w:pPr>
              <w:pStyle w:val="TableContents"/>
              <w:bidi w:val="0"/>
              <w:spacing w:before="0" w:after="283"/>
              <w:jc w:val="left"/>
              <w:rPr/>
            </w:pPr>
            <w:r>
              <w:rPr/>
              <w:t>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(“Bloomberg”)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155"/>
        <w:gridCol w:w="9666"/>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(B)</w:t>
            </w:r>
          </w:p>
        </w:tc>
        <w:tc>
          <w:tcPr>
            <w:tcW w:w="155" w:type="dxa"/>
            <w:tcBorders/>
            <w:vAlign w:val="center"/>
          </w:tcPr>
          <w:p>
            <w:pPr>
              <w:pStyle w:val="TableContents"/>
              <w:bidi w:val="0"/>
              <w:spacing w:before="0" w:after="283"/>
              <w:jc w:val="center"/>
              <w:rPr/>
            </w:pPr>
            <w:r>
              <w:rPr/>
              <w:t>=</w:t>
            </w:r>
          </w:p>
        </w:tc>
        <w:tc>
          <w:tcPr>
            <w:tcW w:w="9666" w:type="dxa"/>
            <w:tcBorders/>
            <w:vAlign w:val="center"/>
          </w:tcPr>
          <w:p>
            <w:pPr>
              <w:pStyle w:val="TableContents"/>
              <w:bidi w:val="0"/>
              <w:spacing w:before="0" w:after="283"/>
              <w:jc w:val="left"/>
              <w:rPr/>
            </w:pPr>
            <w:r>
              <w:rPr/>
              <w:t>the Exercise Price of this Warrant, as adjusted hereunder; and</w:t>
            </w:r>
          </w:p>
        </w:tc>
      </w:tr>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center"/>
              <w:rPr/>
            </w:pPr>
            <w:r>
              <w:rPr/>
              <w:t>=</w:t>
            </w:r>
          </w:p>
        </w:tc>
        <w:tc>
          <w:tcPr>
            <w:tcW w:w="9666" w:type="dxa"/>
            <w:tcBorders/>
            <w:vAlign w:val="center"/>
          </w:tcPr>
          <w:p>
            <w:pPr>
              <w:pStyle w:val="TableContents"/>
              <w:bidi w:val="0"/>
              <w:spacing w:before="0" w:after="283"/>
              <w:jc w:val="left"/>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and reasonably acceptable to the Company, the fees and expenses of which shall be paid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9085" w:type="dxa"/>
        <w:jc w:val="left"/>
        <w:tblInd w:w="0" w:type="dxa"/>
        <w:tblLayout w:type="fixed"/>
        <w:tblCellMar>
          <w:top w:w="0" w:type="dxa"/>
          <w:left w:w="0" w:type="dxa"/>
          <w:bottom w:w="0" w:type="dxa"/>
          <w:right w:w="0" w:type="dxa"/>
        </w:tblCellMar>
      </w:tblPr>
      <w:tblGrid>
        <w:gridCol w:w="155"/>
        <w:gridCol w:w="8930"/>
      </w:tblGrid>
      <w:tr>
        <w:trPr/>
        <w:tc>
          <w:tcPr>
            <w:tcW w:w="155" w:type="dxa"/>
            <w:tcBorders/>
            <w:vAlign w:val="center"/>
          </w:tcPr>
          <w:p>
            <w:pPr>
              <w:pStyle w:val="TableContents"/>
              <w:bidi w:val="0"/>
              <w:spacing w:before="0" w:after="283"/>
              <w:jc w:val="left"/>
              <w:rPr/>
            </w:pPr>
            <w:r>
              <w:rPr/>
              <w:t>4</w:t>
            </w:r>
          </w:p>
        </w:tc>
        <w:tc>
          <w:tcPr>
            <w:tcW w:w="8930" w:type="dxa"/>
            <w:tcBorders/>
            <w:vAlign w:val="center"/>
          </w:tcPr>
          <w:p>
            <w:pPr>
              <w:pStyle w:val="TableContents"/>
              <w:bidi w:val="0"/>
              <w:spacing w:before="0" w:after="283"/>
              <w:jc w:val="left"/>
              <w:rPr/>
            </w:pPr>
            <w:r>
              <w:rPr/>
              <w:t>Insert exercise price equaling 125% of the public offering price per share of the securities sold.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and reasonably acceptable to the Company, the fees and expenses of which shall be paid by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registering the issuance of the Warrant Shares to or resale of the Warrant Shares by the Holder or (B) the Warrant Shares are eligible for resale by the Holder without volume or manner-of-sale limitations pursuant to Rule 144 (assuming cashless exercise of the Warrant) ,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and the aggregate Exercise Price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applicable to such exercise, the Holder may, upon written demand to the Company, require the Company to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1800" w:right="0" w:firstLine="36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180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800" w:right="0" w:firstLine="36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 by delivering written notice to the Company at any time prior to the Company delivering such Warrant Shares.</w:t>
      </w:r>
    </w:p>
    <w:p>
      <w:pPr>
        <w:pStyle w:val="TextBody"/>
        <w:bidi w:val="0"/>
        <w:spacing w:before="0" w:after="0"/>
        <w:ind w:left="1800" w:right="0" w:firstLine="36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1800" w:right="0" w:firstLine="36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1800" w:right="0" w:firstLine="36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180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and shall be the sole responsibility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shall be owing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when this Warrant is outstanding,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and excluding a stock split)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(whether or not the Company is the surviving entity) unless the shareholders of the Company immediately prior to such consolidation or merger continue to hold greater than 50% of the outstanding shares of Voting Stock after such consolidation or merger, (ii) the Company (and all of its Subsidiaries, taken as a whole), directly or indirectly, effects any sale, lease, license, assignment, transfer, conveyance or other disposition of all or substantially all of the Company’s (including its Subsidiaries, taken as a whole)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stock split),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of Common Stock,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1800" w:right="0" w:firstLine="36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while this Warrant is outstanding, (A) the Company declares a dividend (or any other distribution in whatever form) on the Common Stock, (B) the Company declares a special nonrecurring cash dividend on or a redemption of the Common Stock, (C) the Company authorizes the granting to all holders of the Common Stock rights or warrants to subscribe for or purchase any shares of capital stock of any class or of any rights, (D) the approval of any stockholders of the Company is required in connection with a Fundamental Transaction, or (E) the Company authorizes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ten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shares of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shares of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and provided, further that no notice shall be required if the information is disseminated in a press release or document filed with the Securities and Exchange Commission.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180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six months immediately following the commencement of sales of the offering pursuant to which this Warrant is being issued. Subject to the foregoing restriction,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This Warrant, if properly assigned in accordance herewith, may be exercised by a new holder for the purchase of Warrant Shares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or on behalf of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Representation by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the Company does not maintain an effective registration statement for the Warrant Shares and in the further event that the Company files a registration statement with the Securities and Exchange Commission covering the sale of its shares of Common Stock (other than a registration statement on Form S-4 or S-8, or on another form, or in another context, in which such “piggyback” registration would be inappropriate), then, for a period of five (5) years from the commencement of sales of the Offering, the Company shall give written notice of such proposed filing to the Holder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offer to the Holder in such notice the opportunity to register the sale of such number of shares of Warrant Shares as such Holder may request in writing within five (5) days following receipt of such notice (a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The Company shall cause such Warrant Shares to be included in such registration and shall use its commercially reasonable efforts to cause the managing underwriter or underwriters of a proposed underwritten offering to permit the Warrant Shares requested to be included in a Piggyback Registration on the same terms and conditions as any similar securities of the Company and to permit the sale or other disposition of such Warrant Shares in accordance with the intended method(s) of distribution thereof. All Holders proposing to distribute their securities through a Piggyback Registration that involves an underwriter or underwriters shall enter into an underwriting agreement in customary form with the underwriter or underwriters selected for such Piggyback Registration. Furthermore, each Holder must provide such information as reasonably requested by the Company (which information shall be limited to that which is required for disclosure under the Securities Act and the forms, rules and regulations promulgated thereunder) to be included in the registration statement timely or the Company may elect to exclude such Holder from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to the extent the Company does not maintain an effective registration statement for the Warrant Shares, for a period of five (5) years from the commencement of sales of the Offering, the Holder shall be entitled to one (1) demand right for the registration of the Warrant Shares at the Company’s expense (other than any underwriting discounts, selling commissions, share transfer taxes applicable to the sale of the Warrant Shares, and fees and disbursements of counsel for the Holder) (the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In the event of a Demand Registration, the Company shall use its commercially reasonable efforts to register the applicable Warrant Shares. All Holders of Warrant Shares proposing to distribute their securities through a Demand Registration that involves an underwriter or underwriters shall enter into an underwriting agreement in customary form with the underwriter or underwriters selected for such Demand Registration. Furthermore, each Holder must provide such information as reasonably requested by the Company (which information shall be limited to that which is required for disclosure under the Securities Act and the forms, rules and regulations promulgated thereunder) to be included in the registration statement timely or the Company may elect to exclude such Holder from the registration statement.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the registration rights described in this Section 5 shall be subject to limitations imposed by the Commission’s rules or comments of the Commission staff in connection with its review of the registration statement for any such resale registration. Moreover, notwithstanding the foregoing registration obligations of the Company, if the Company furnishes to the Holders requesting a Demand Registration a certificate signed by the Company’s chief executive officer stating that in the good faith judgment of the Company’s Board of Directors it would be materially detrimental to the Company and its stockholders for a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Demand Registration or withdraw a related registration statement for a period of not more than forty-five (45) calendar days; provided, however, that the Company may not invoke this right more than twice in any twelve (12) month period or during the twelve (12) month period prior to the Termination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covenants that, during the period the Warrant is outstanding, it will reserve from its authorized and unissued shares of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underlying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800" w:right="0" w:firstLine="36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800" w:right="0" w:firstLine="36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This Warrant shall be deemed to have been made and delivered in New York City and both this Warrant and the transactions contemplated hereby shall be governed as to validity, interpretation, construction, effect and in all other respects by the internal laws of the State of New York, without regard to the conflicts of laws principles thereof. Each of the Holder and the Company: (a) agrees that any legal suit, action or proceeding arising out of or relating to this Warrant and/or the transactions contemplated hereby shall be instituted exclusively in the New York Supreme Court, County of New York, or in the United States District Court for the Southern District of New York, (b) waives any objection which it may have or hereafter to the venue of any such suit, action or proceeding, and (c) irrevocably consents to the jurisdiction of the New York Supreme Court, County of New York, and in the United States District Court for the Southern District of New York in any such suit, action or proceeding. Each of the Holder and the Company further agrees to accept and acknowledge service of any and all process which may be served in any such suit, action or proceeding in the New York Supreme Court ,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Holder mailed by certified mail to the Holder’s address shall be deemed in every respect effective service process upon the Holder, in any such suit, action or proceeding. If either party shall commence an action or proceeding to enforce any provisions of this Warrant, then the prevailing party in such action or proceeding shall be reimbursed by the other party for its reasonable attorney's fees and other costs and expenses incurred with the investigation, preparation and prosecution of such action or proceeding.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hereunder shall be made in accordance with the Placement Agency Agreement.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Holder of this Warrant, on the other hand.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2524" w:type="dxa"/>
        <w:jc w:val="left"/>
        <w:tblInd w:w="0" w:type="dxa"/>
        <w:tblLayout w:type="fixed"/>
        <w:tblCellMar>
          <w:top w:w="0" w:type="dxa"/>
          <w:left w:w="0" w:type="dxa"/>
          <w:bottom w:w="0" w:type="dxa"/>
          <w:right w:w="0" w:type="dxa"/>
        </w:tblCellMar>
      </w:tblPr>
      <w:tblGrid>
        <w:gridCol w:w="75"/>
        <w:gridCol w:w="1430"/>
        <w:gridCol w:w="1019"/>
      </w:tblGrid>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b/>
              </w:rPr>
            </w:pPr>
            <w:r>
              <w:rPr>
                <w:b/>
              </w:rPr>
              <w:t>VIVOSIM LABS, INC.</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By:</w:t>
            </w:r>
          </w:p>
        </w:tc>
        <w:tc>
          <w:tcPr>
            <w:tcW w:w="101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Name: </w:t>
            </w:r>
          </w:p>
        </w:tc>
        <w:tc>
          <w:tcPr>
            <w:tcW w:w="10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Title:</w:t>
            </w:r>
          </w:p>
        </w:tc>
        <w:tc>
          <w:tcPr>
            <w:tcW w:w="101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t>
      </w:r>
      <w:r>
        <w:rPr>
          <w:rFonts w:ascii="Times New Roman;Times;Serif" w:hAnsi="Times New Roman;Times;Serif"/>
          <w:b/>
          <w:i w:val="false"/>
          <w:caps w:val="false"/>
          <w:smallCaps w:val="false"/>
          <w:sz w:val="20"/>
        </w:rPr>
        <w:t>VIVOSIM LABS,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880"/>
        <w:gridCol w:w="60"/>
        <w:gridCol w:w="60"/>
        <w:gridCol w:w="1295"/>
      </w:tblGrid>
      <w:tr>
        <w:trPr/>
        <w:tc>
          <w:tcPr>
            <w:tcW w:w="1940" w:type="dxa"/>
            <w:gridSpan w:val="2"/>
            <w:tcBorders/>
            <w:vAlign w:val="center"/>
          </w:tcPr>
          <w:p>
            <w:pPr>
              <w:pStyle w:val="TableContents"/>
              <w:bidi w:val="0"/>
              <w:spacing w:before="0" w:after="283"/>
              <w:jc w:val="left"/>
              <w:rPr/>
            </w:pPr>
            <w:r>
              <w:rPr/>
              <w:t> </w:t>
            </w:r>
            <w:r>
              <w:rPr/>
              <w:t>Name:</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(Please Print)</w:t>
            </w:r>
          </w:p>
        </w:tc>
      </w:tr>
      <w:tr>
        <w:trPr/>
        <w:tc>
          <w:tcPr>
            <w:tcW w:w="1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1940" w:type="dxa"/>
            <w:gridSpan w:val="2"/>
            <w:tcBorders/>
            <w:vAlign w:val="center"/>
          </w:tcPr>
          <w:p>
            <w:pPr>
              <w:pStyle w:val="TableContents"/>
              <w:bidi w:val="0"/>
              <w:spacing w:before="0" w:after="283"/>
              <w:jc w:val="left"/>
              <w:rPr/>
            </w:pPr>
            <w:r>
              <w:rPr/>
              <w:t>Address:</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(Please Print)</w:t>
            </w:r>
          </w:p>
        </w:tc>
      </w:tr>
      <w:tr>
        <w:trPr/>
        <w:tc>
          <w:tcPr>
            <w:tcW w:w="1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1940" w:type="dxa"/>
            <w:gridSpan w:val="2"/>
            <w:tcBorders/>
            <w:vAlign w:val="center"/>
          </w:tcPr>
          <w:p>
            <w:pPr>
              <w:pStyle w:val="TableContents"/>
              <w:bidi w:val="0"/>
              <w:spacing w:before="0" w:after="283"/>
              <w:jc w:val="left"/>
              <w:rPr/>
            </w:pPr>
            <w:r>
              <w:rPr/>
              <w:t>Phone Number:</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1940" w:type="dxa"/>
            <w:gridSpan w:val="2"/>
            <w:tcBorders/>
            <w:vAlign w:val="center"/>
          </w:tcPr>
          <w:p>
            <w:pPr>
              <w:pStyle w:val="TableContents"/>
              <w:bidi w:val="0"/>
              <w:spacing w:before="0" w:after="283"/>
              <w:jc w:val="left"/>
              <w:rPr/>
            </w:pPr>
            <w:r>
              <w:rPr/>
              <w:t>Email Address:</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Holder’s Signature: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Holder’s Address:</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8" w:name="ea028377701ex5-1.htm"/>
      <w:bookmarkStart w:id="29" w:name="ksea028377701ex51"/>
      <w:bookmarkEnd w:id="28"/>
      <w:bookmarkEnd w:id="29"/>
      <w:r>
        <w:rPr>
          <w:b/>
        </w:rPr>
        <w:t>Exhibit 5.1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743075"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7"/>
                    <a:stretch>
                      <a:fillRect/>
                    </a:stretch>
                  </pic:blipFill>
                  <pic:spPr bwMode="auto">
                    <a:xfrm>
                      <a:off x="0" y="0"/>
                      <a:ext cx="1743075" cy="514350"/>
                    </a:xfrm>
                    <a:prstGeom prst="rect">
                      <a:avLst/>
                    </a:prstGeom>
                  </pic:spPr>
                </pic:pic>
              </a:graphicData>
            </a:graphic>
          </wp:inline>
        </w:drawing>
      </w:r>
      <w:r>
        <w:rPr/>
        <w:t> </w:t>
      </w:r>
    </w:p>
    <w:p>
      <w:pPr>
        <w:pStyle w:val="TextBody"/>
        <w:bidi w:val="0"/>
        <w:spacing w:before="0" w:after="283"/>
        <w:jc w:val="left"/>
        <w:rPr/>
      </w:pPr>
      <w:r>
        <w:rPr/>
        <w:t> </w:t>
      </w:r>
    </w:p>
    <w:tbl>
      <w:tblPr>
        <w:tblW w:w="2455" w:type="dxa"/>
        <w:jc w:val="left"/>
        <w:tblInd w:w="0" w:type="dxa"/>
        <w:tblLayout w:type="fixed"/>
        <w:tblCellMar>
          <w:top w:w="0" w:type="dxa"/>
          <w:left w:w="0" w:type="dxa"/>
          <w:bottom w:w="0" w:type="dxa"/>
          <w:right w:w="0" w:type="dxa"/>
        </w:tblCellMar>
      </w:tblPr>
      <w:tblGrid>
        <w:gridCol w:w="1325"/>
        <w:gridCol w:w="1130"/>
      </w:tblGrid>
      <w:tr>
        <w:trPr/>
        <w:tc>
          <w:tcPr>
            <w:tcW w:w="1325" w:type="dxa"/>
            <w:tcBorders/>
            <w:vAlign w:val="center"/>
          </w:tcPr>
          <w:p>
            <w:pPr>
              <w:pStyle w:val="TableContents"/>
              <w:bidi w:val="0"/>
              <w:spacing w:before="0" w:after="283"/>
              <w:jc w:val="left"/>
              <w:rPr>
                <w:sz w:val="20"/>
              </w:rPr>
            </w:pPr>
            <w:r>
              <w:rPr>
                <w:sz w:val="20"/>
              </w:rPr>
              <w:t>March 27, 2026</w:t>
            </w:r>
          </w:p>
        </w:tc>
        <w:tc>
          <w:tcPr>
            <w:tcW w:w="1130" w:type="dxa"/>
            <w:tcBorders/>
            <w:vAlign w:val="center"/>
          </w:tcPr>
          <w:p>
            <w:pPr>
              <w:pStyle w:val="TableContents"/>
              <w:bidi w:val="0"/>
              <w:spacing w:before="0" w:after="283"/>
              <w:jc w:val="right"/>
              <w:rPr>
                <w:sz w:val="20"/>
              </w:rPr>
            </w:pPr>
            <w:r>
              <w:rPr>
                <w:sz w:val="20"/>
              </w:rPr>
              <w:t>47901.00017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VivoSim Labs, Inc.</w:t>
        <w:br/>
        <w:t>11555 Sorrento Valley Road, Suite 100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Organovo Holdings,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the Registration Statement on Form S-1 of the Company (including all exhibits thereto,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including a related prospectus filed with the Registration Statement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relating to the proposed public offering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xml:space="preserve">”) of (i) up to </w:t>
      </w:r>
      <w:r>
        <w:rPr>
          <w:rFonts w:ascii="Times New Roman;Times;Serif" w:hAnsi="Times New Roman;Times;Serif"/>
          <w:b w:val="false"/>
          <w:i w:val="false"/>
          <w:caps w:val="false"/>
          <w:smallCaps w:val="false"/>
          <w:sz w:val="20"/>
          <w:shd w:fill="FFFFFF" w:val="clear"/>
        </w:rPr>
        <w:t>2,366,862</w:t>
      </w:r>
      <w:r>
        <w:rPr>
          <w:rFonts w:ascii="Times New Roman;Times;Serif" w:hAnsi="Times New Roman;Times;Serif"/>
          <w:b w:val="false"/>
          <w:i w:val="false"/>
          <w:caps w:val="false"/>
          <w:smallCaps w:val="false"/>
          <w:sz w:val="20"/>
        </w:rPr>
        <w:t xml:space="preserve">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$0.001 par value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(ii) pre-funded warrants to purchase up to an aggregate of </w:t>
      </w:r>
      <w:r>
        <w:rPr>
          <w:rFonts w:ascii="Times New Roman;Times;Serif" w:hAnsi="Times New Roman;Times;Serif"/>
          <w:b w:val="false"/>
          <w:i w:val="false"/>
          <w:caps w:val="false"/>
          <w:smallCaps w:val="false"/>
          <w:sz w:val="20"/>
          <w:shd w:fill="FFFFFF" w:val="clear"/>
        </w:rPr>
        <w:t>2,366,862</w:t>
      </w:r>
      <w:r>
        <w:rPr>
          <w:rFonts w:ascii="Times New Roman;Times;Serif" w:hAnsi="Times New Roman;Times;Serif"/>
          <w:b w:val="false"/>
          <w:i w:val="false"/>
          <w:caps w:val="false"/>
          <w:smallCaps w:val="false"/>
          <w:sz w:val="20"/>
        </w:rPr>
        <w:t xml:space="preserve"> shares of Common Stock (the “</w:t>
      </w:r>
      <w:r>
        <w:rPr>
          <w:rFonts w:ascii="Times New Roman;Times;Serif" w:hAnsi="Times New Roman;Times;Serif"/>
          <w:b/>
          <w:i/>
          <w:caps w:val="false"/>
          <w:smallCaps w:val="false"/>
          <w:sz w:val="20"/>
        </w:rPr>
        <w:t>Pre-Funded Warrants</w:t>
      </w:r>
      <w:r>
        <w:rPr>
          <w:rFonts w:ascii="Times New Roman;Times;Serif" w:hAnsi="Times New Roman;Times;Serif"/>
          <w:b w:val="false"/>
          <w:i w:val="false"/>
          <w:caps w:val="false"/>
          <w:smallCaps w:val="false"/>
          <w:sz w:val="20"/>
        </w:rPr>
        <w:t>”), (iii) common warrants to purchase up to an aggregate of 3,550,293 shares of Common Stock (the “</w:t>
      </w:r>
      <w:r>
        <w:rPr>
          <w:rFonts w:ascii="Times New Roman;Times;Serif" w:hAnsi="Times New Roman;Times;Serif"/>
          <w:b/>
          <w:i/>
          <w:caps w:val="false"/>
          <w:smallCaps w:val="false"/>
          <w:sz w:val="20"/>
        </w:rPr>
        <w:t>Common Warrants</w:t>
      </w:r>
      <w:r>
        <w:rPr>
          <w:rFonts w:ascii="Times New Roman;Times;Serif" w:hAnsi="Times New Roman;Times;Serif"/>
          <w:b w:val="false"/>
          <w:i w:val="false"/>
          <w:caps w:val="false"/>
          <w:smallCaps w:val="false"/>
          <w:sz w:val="20"/>
        </w:rPr>
        <w:t>”), (iv) placement agent warrants to purchase up to an aggregate of 118,343 shares of Common Stock (the “</w:t>
      </w:r>
      <w:r>
        <w:rPr>
          <w:rFonts w:ascii="Times New Roman;Times;Serif" w:hAnsi="Times New Roman;Times;Serif"/>
          <w:b/>
          <w:i/>
          <w:caps w:val="false"/>
          <w:smallCaps w:val="false"/>
          <w:sz w:val="20"/>
        </w:rPr>
        <w:t>Placement Agent Warrants</w:t>
      </w:r>
      <w:r>
        <w:rPr>
          <w:rFonts w:ascii="Times New Roman;Times;Serif" w:hAnsi="Times New Roman;Times;Serif"/>
          <w:b w:val="false"/>
          <w:i w:val="false"/>
          <w:caps w:val="false"/>
          <w:smallCaps w:val="false"/>
          <w:sz w:val="20"/>
        </w:rPr>
        <w:t>” and together with the Pre-Funded Warrants and the Common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xml:space="preserve">”), (iv) up to </w:t>
      </w:r>
      <w:r>
        <w:rPr>
          <w:rFonts w:ascii="Times New Roman;Times;Serif" w:hAnsi="Times New Roman;Times;Serif"/>
          <w:b w:val="false"/>
          <w:i w:val="false"/>
          <w:caps w:val="false"/>
          <w:smallCaps w:val="false"/>
          <w:sz w:val="20"/>
          <w:shd w:fill="FFFFFF" w:val="clear"/>
        </w:rPr>
        <w:t>2,366,862</w:t>
      </w:r>
      <w:r>
        <w:rPr>
          <w:rFonts w:ascii="Times New Roman;Times;Serif" w:hAnsi="Times New Roman;Times;Serif"/>
          <w:b w:val="false"/>
          <w:i w:val="false"/>
          <w:caps w:val="false"/>
          <w:smallCaps w:val="false"/>
          <w:sz w:val="20"/>
        </w:rPr>
        <w:t xml:space="preserve"> shares of Common Stock underlying the Pre-Funded Warrants (the “</w:t>
      </w:r>
      <w:r>
        <w:rPr>
          <w:rFonts w:ascii="Times New Roman;Times;Serif" w:hAnsi="Times New Roman;Times;Serif"/>
          <w:b/>
          <w:i/>
          <w:caps w:val="false"/>
          <w:smallCaps w:val="false"/>
          <w:sz w:val="20"/>
        </w:rPr>
        <w:t>Pre-Funded Warrant Shares</w:t>
      </w:r>
      <w:r>
        <w:rPr>
          <w:rFonts w:ascii="Times New Roman;Times;Serif" w:hAnsi="Times New Roman;Times;Serif"/>
          <w:b w:val="false"/>
          <w:i w:val="false"/>
          <w:caps w:val="false"/>
          <w:smallCaps w:val="false"/>
          <w:sz w:val="20"/>
        </w:rPr>
        <w:t xml:space="preserve">”), (v) up to </w:t>
      </w:r>
      <w:r>
        <w:rPr>
          <w:rFonts w:ascii="Times New Roman;Times;Serif" w:hAnsi="Times New Roman;Times;Serif"/>
          <w:b w:val="false"/>
          <w:i w:val="false"/>
          <w:caps w:val="false"/>
          <w:smallCaps w:val="false"/>
          <w:sz w:val="20"/>
          <w:shd w:fill="FFFFFF" w:val="clear"/>
        </w:rPr>
        <w:t>8,875,733</w:t>
      </w:r>
      <w:r>
        <w:rPr>
          <w:rFonts w:ascii="Times New Roman;Times;Serif" w:hAnsi="Times New Roman;Times;Serif"/>
          <w:b w:val="false"/>
          <w:i w:val="false"/>
          <w:caps w:val="false"/>
          <w:smallCaps w:val="false"/>
          <w:sz w:val="20"/>
        </w:rPr>
        <w:t xml:space="preserve"> shares of Common Stock underlying the Common Warrants (the “</w:t>
      </w:r>
      <w:r>
        <w:rPr>
          <w:rFonts w:ascii="Times New Roman;Times;Serif" w:hAnsi="Times New Roman;Times;Serif"/>
          <w:b/>
          <w:i/>
          <w:caps w:val="false"/>
          <w:smallCaps w:val="false"/>
          <w:sz w:val="20"/>
        </w:rPr>
        <w:t>Common Warrant Shares</w:t>
      </w:r>
      <w:r>
        <w:rPr>
          <w:rFonts w:ascii="Times New Roman;Times;Serif" w:hAnsi="Times New Roman;Times;Serif"/>
          <w:b w:val="false"/>
          <w:i w:val="false"/>
          <w:caps w:val="false"/>
          <w:smallCaps w:val="false"/>
          <w:sz w:val="20"/>
        </w:rPr>
        <w:t>”), and (vi) up to 118,343 shares of Common Stock underlying the placement agent warrants (the “</w:t>
      </w:r>
      <w:r>
        <w:rPr>
          <w:rFonts w:ascii="Times New Roman;Times;Serif" w:hAnsi="Times New Roman;Times;Serif"/>
          <w:b/>
          <w:i/>
          <w:caps w:val="false"/>
          <w:smallCaps w:val="false"/>
          <w:sz w:val="20"/>
        </w:rPr>
        <w:t>Placement Agent Warrant Shares</w:t>
      </w:r>
      <w:r>
        <w:rPr>
          <w:rFonts w:ascii="Times New Roman;Times;Serif" w:hAnsi="Times New Roman;Times;Serif"/>
          <w:b w:val="false"/>
          <w:i w:val="false"/>
          <w:caps w:val="false"/>
          <w:smallCaps w:val="false"/>
          <w:sz w:val="20"/>
        </w:rPr>
        <w:t>”, and together with the Pre-Funded Warrant Shares and the Common Warrant Shares,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The Shares, the Pre-Funded Warrants, the Common Warrants, the Pre-Funded Warrant Shares and the Common Warrant Shares (collectively, the “</w:t>
      </w:r>
      <w:r>
        <w:rPr>
          <w:rFonts w:ascii="Times New Roman;Times;Serif" w:hAnsi="Times New Roman;Times;Serif"/>
          <w:b/>
          <w:i/>
          <w:caps w:val="false"/>
          <w:smallCaps w:val="false"/>
          <w:sz w:val="20"/>
        </w:rPr>
        <w:t>Investor Securities</w:t>
      </w:r>
      <w:r>
        <w:rPr>
          <w:rFonts w:ascii="Times New Roman;Times;Serif" w:hAnsi="Times New Roman;Times;Serif"/>
          <w:b w:val="false"/>
          <w:i w:val="false"/>
          <w:caps w:val="false"/>
          <w:smallCaps w:val="false"/>
          <w:sz w:val="20"/>
        </w:rPr>
        <w:t>”) are to be sold to the several purchasers pursuant to securities purchase agreements (each, a “</w:t>
      </w:r>
      <w:r>
        <w:rPr>
          <w:rFonts w:ascii="Times New Roman;Times;Serif" w:hAnsi="Times New Roman;Times;Serif"/>
          <w:b/>
          <w:i/>
          <w:caps w:val="false"/>
          <w:smallCaps w:val="false"/>
          <w:sz w:val="20"/>
        </w:rPr>
        <w:t>Securities Purchase Agreement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Securities Purchase Agreements</w:t>
      </w:r>
      <w:r>
        <w:rPr>
          <w:rFonts w:ascii="Times New Roman;Times;Serif" w:hAnsi="Times New Roman;Times;Serif"/>
          <w:b w:val="false"/>
          <w:i w:val="false"/>
          <w:caps w:val="false"/>
          <w:smallCaps w:val="false"/>
          <w:sz w:val="20"/>
        </w:rPr>
        <w:t>”) among the Company and the purchasers signatory thereto (collectively, the “</w:t>
      </w:r>
      <w:r>
        <w:rPr>
          <w:rFonts w:ascii="Times New Roman;Times;Serif" w:hAnsi="Times New Roman;Times;Serif"/>
          <w:b/>
          <w:i/>
          <w:caps w:val="false"/>
          <w:smallCaps w:val="false"/>
          <w:sz w:val="20"/>
        </w:rPr>
        <w:t>Purchasers</w:t>
      </w:r>
      <w:r>
        <w:rPr>
          <w:rFonts w:ascii="Times New Roman;Times;Serif" w:hAnsi="Times New Roman;Times;Serif"/>
          <w:b w:val="false"/>
          <w:i w:val="false"/>
          <w:caps w:val="false"/>
          <w:smallCaps w:val="false"/>
          <w:sz w:val="20"/>
        </w:rPr>
        <w:t>”). The Placement Agent Warrants and the Placement Agent Warrant Shares are to be issued to Joseph Gunnar &amp; Co., LLC pursuant to a placement agent agreement to be entered into between the Company and the Placement Agent (the “</w:t>
      </w:r>
      <w:r>
        <w:rPr>
          <w:rFonts w:ascii="Times New Roman;Times;Serif" w:hAnsi="Times New Roman;Times;Serif"/>
          <w:b/>
          <w:i/>
          <w:caps w:val="false"/>
          <w:smallCaps w:val="false"/>
          <w:sz w:val="20"/>
        </w:rPr>
        <w:t>Placement Agent Agreement</w:t>
      </w:r>
      <w:r>
        <w:rPr>
          <w:rFonts w:ascii="Times New Roman;Times;Serif" w:hAnsi="Times New Roman;Times;Serif"/>
          <w:b w:val="false"/>
          <w:i w:val="false"/>
          <w:caps w:val="false"/>
          <w:smallCaps w:val="false"/>
          <w:sz w:val="20"/>
        </w:rPr>
        <w:t>”). The Investor Securities, the Placement Agent Warrants and the Placement Agent Warrant Shares are collectively referred to herein as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this opinion, we have examined and relied upon the Registration Statement, the Prospectus, the form of Securities Purchase Agreement, the form of Pre-Funded Warrant, the form of Common Warrant, the form of Placement Agent Warrant, the Placement Agent Agreement, the Company’s Certificate of Incorporation, as amended, and the Company’s Amended and Restated Bylaws, </w:t>
      </w:r>
      <w:r>
        <w:rPr>
          <w:rFonts w:ascii="Times New Roman;Times;Serif" w:hAnsi="Times New Roman;Times;Serif"/>
          <w:b w:val="false"/>
          <w:i w:val="false"/>
          <w:caps w:val="false"/>
          <w:smallCaps w:val="false"/>
          <w:sz w:val="20"/>
          <w:shd w:fill="FFFFFF" w:val="clear"/>
        </w:rPr>
        <w:t>each as currently in effect, and the originals or copies, certified or otherwise identified to our satisfaction, of such documents, resolutions, certificates and other instruments of the Company and such other instruments and documents as we have deemed necessary or appropriate as a basis for the opinions set forth below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certain factual matters, we have relied upon a certificate of an officer of the Company and have not independently verified such matters. We have assumed the genuineness and authenticity of all documents submitted to us as originals, and the conformity to originals of all documents submitted to us as copies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3810000"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8"/>
                    <a:stretch>
                      <a:fillRect/>
                    </a:stretch>
                  </pic:blipFill>
                  <pic:spPr bwMode="auto">
                    <a:xfrm>
                      <a:off x="0" y="0"/>
                      <a:ext cx="3810000" cy="381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43075" cy="51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9"/>
                    <a:stretch>
                      <a:fillRect/>
                    </a:stretch>
                  </pic:blipFill>
                  <pic:spPr bwMode="auto">
                    <a:xfrm>
                      <a:off x="0" y="0"/>
                      <a:ext cx="1743075" cy="5143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We are not rendering any opinion as to compliance with any federal or state antifraud law, rule or regulation relating to securities, or to the sale or issuance thereof. Our opinion is based on these laws as in effect on the date hereof, and we disclaim any obligation to advise you of facts, circumstances, events or developments which hereafter may be brought to our attention and which may alter, affect or modify the opinion expressed herein. We express no opinion as to whether the laws of any particular jurisdiction other than those identified above are applicable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left"/>
              <w:rPr/>
            </w:pPr>
            <w:r>
              <w:rPr/>
              <w:t>The Shares have been duly authorized by the Company and, and when issued and sold in accordance with the Registration Statement and the Prospectus, with payment received by the Company in the manner described in the Securities Purchase Agreement, will be validly issued, fully paid and nonassessable.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left"/>
              <w:rPr/>
            </w:pPr>
            <w:r>
              <w:rPr/>
              <w:t>The Warrants have been duly authorized by the Company, and when issued and sold in accordance with the Registration Statement and the Prospectus, with payment received by the Company in the manner described in the Securities Purchase Agreement or the Placement Agent Agreement, as applicable, will be valid and binding obligations of the Company, enforceable against the Company in accordance with their terms except as such enforceability may be limited by (i) any applicable bankruptcy, insolvency, reorganization, moratorium or similar laws affecting creditors’ rights generally including, without limitation, fraudulent transfer or fraudulent conveyance laws; (ii) public policy considerations, statutes or court decisions that may limit rights to obtain exculpation, indemnification or contribution (including, without limitation, indemnification regarding violations of the securities laws and indemnification for losses resulting from a judgment for the payment of any amount other than in United States dollars); and (iii) general principles of equity (including, without limitation, concepts of materiality, reasonableness, good faith and fair dealing) and the availability of equitable remedies (including, without limitation, specific performance and equitable relief), regardless of whether considered in a proceeding in equity or at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3.</w:t>
            </w:r>
          </w:p>
        </w:tc>
        <w:tc>
          <w:tcPr>
            <w:tcW w:w="10014" w:type="dxa"/>
            <w:tcBorders/>
            <w:vAlign w:val="center"/>
          </w:tcPr>
          <w:p>
            <w:pPr>
              <w:pStyle w:val="TableContents"/>
              <w:bidi w:val="0"/>
              <w:spacing w:before="0" w:after="283"/>
              <w:jc w:val="left"/>
              <w:rPr/>
            </w:pPr>
            <w:r>
              <w:rPr/>
              <w:t>The Warrant Shares have been duly authorized by all necessary corporate action on the part of the Company and assuming sufficient authorized but unissued shares of Common Stock are available for issuance when the Warrants are exercised, the Warrant Shares, when issued, delivered and paid for in accordance with the terms of the Warrants,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opinion paragraph 2: (i) our opinion is subject to the qualification that the availability of specific performance, an injunction or other equitable remedies is subject to the discretion of the court before which the request is brought; (ii) we express no opinion as to any provision of the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(f) authorizes or validates conclusive or discretionary determinations, or (g) provides that provisions of the Warrants are severable to the extent an essential part of the agreed exchange is determined to be invalid and unenforceable; and (iii) we express no opinion as to whether a state court outside of the State of New York or a federal court of the United States would give effect to the choice of New York law provided for in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43075"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60"/>
                    <a:stretch>
                      <a:fillRect/>
                    </a:stretch>
                  </pic:blipFill>
                  <pic:spPr bwMode="auto">
                    <a:xfrm>
                      <a:off x="0" y="0"/>
                      <a:ext cx="1743075" cy="5143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any of the other limitations, exceptions, assumptions and qualifications stated elsewhere herein, we express no opinion with regard to the applicability or effect of the laws of any jurisdiction other than the General Corporation Law of the State of Delaware and the laws of the State of New York, as in effect on the date of this opinion letter. We are not rendering any opinion as to compliance with any federal or state antifraud law, rule or regulation relating to securities, or to the sale or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deals only with the specified legal issues expressly addressed herein, and you should not infer any opinion that is not explicitly stated herein from any matter addressed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solely in connection with the offering of the Securities as described in the Registration Statement. This opinion letter is rendered as of the date hereof, and we assume no obligation to advise you or any other person with regard to any change after the date hereof in the circumstances or the law that may bear on the matters set forth herein, even if the change may affect the legal analysis or a legal conclusion or other matters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and to the reference to our firm in the Prospectus under the heading “Legal Matters.” In giving such consent, we do not hereby admit that we are within the category of persons whose consent is required under Section 7 of the Securities Act or the rules or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Hastings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28377701ex10-30.htm"/>
      <w:bookmarkStart w:id="31" w:name="ksea028377701ex1030"/>
      <w:bookmarkEnd w:id="30"/>
      <w:bookmarkEnd w:id="31"/>
      <w:r>
        <w:rPr>
          <w:rFonts w:ascii="Times New Roman;Times;Serif" w:hAnsi="Times New Roman;Times;Serif"/>
          <w:b/>
          <w:i w:val="false"/>
          <w:caps w:val="false"/>
          <w:smallCaps w:val="false"/>
          <w:sz w:val="20"/>
        </w:rPr>
        <w:t>Exhibit 10.30</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[_______], 2026, between VivoSim Labs,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Purchasers are executing and delivering this Agreement with respect to the securities of the Company in reliance upon the registration statement on Form S-1 (SEC File No. 333-[_______])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by the Company with the United States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pursuant to the Securities Act of 1933, as amended, and the rules and regulations promulgated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for the registration of the Securities, as such Registration Statement may be amended and supplemented from time to time (including pursuant to Rule 462(b) of the Securities Act), including all documents filed as part thereof or incorporated by reference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b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In addition to the terms defined elsewhere in this Agreement the following terms have the meanings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Closing</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Closing Date</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2.1(a).</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3.1(j)</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Stock Plan</w:t>
      </w:r>
      <w:r>
        <w:rPr>
          <w:rFonts w:ascii="Times New Roman;Times;Serif" w:hAnsi="Times New Roman;Times;Serif"/>
          <w:b w:val="false"/>
          <w:i w:val="false"/>
          <w:caps w:val="false"/>
          <w:smallCaps w:val="false"/>
          <w:sz w:val="20"/>
        </w:rPr>
        <w:t>” means any equity incentive plan, employee stock purchase plan or other employee benefit plan which has been approved by the Board of Directors and future increases in the shares of Common Stock authorized to be issued pursuant to the Company’s existing equity incentive plan approved by a majority of the non-employee members of the Board of Directors or a majority of the members of a committee of non-employee directors established for such purpose for services rendered to the Company or the Company’s stockholders, pursuant to which shares of Common Stock, options to purchase Common Stock, restricted stock units, restricted stock awards, stock appreciation rights or other equity awards may be issued or granted to any employee, officer or director for services provided to the Company in their capacity as such.</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have the meaning ascribed to such term in Section 2.1(b).</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2.1(a).</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Sale Price</w:t>
      </w:r>
      <w:r>
        <w:rPr>
          <w:rFonts w:ascii="Times New Roman;Times;Serif" w:hAnsi="Times New Roman;Times;Serif"/>
          <w:b w:val="false"/>
          <w:i w:val="false"/>
          <w:caps w:val="false"/>
          <w:smallCaps w:val="false"/>
          <w:sz w:val="20"/>
        </w:rPr>
        <w:t>” shall mean for any security as of any date, the last closing trade price for such security on the principal securities exchange or trading market where such security is listed or traded, as reported by Bloomberg, L.P., or if the foregoing does not apply, the average of the bid prices of all of the market makers for such security as reported in the “pink sheets” by OTC Markets Group Inc. (formerly Pink Sheets LLC). All such determinations shall be appropriately adjusted for any stock dividend, stock split, stock combination or other similar transaction.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xml:space="preserve">” means the Closing Statement in the form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shall have the meaning ascribed to such term in the preamble.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$0.001 per share, and any other class of securities into which such securities may hereafter be reclassified or changed.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874"/>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Warrants</w:t>
      </w:r>
      <w:r>
        <w:rPr>
          <w:rFonts w:ascii="Times New Roman;Times;Serif" w:hAnsi="Times New Roman;Times;Serif"/>
          <w:b w:val="false"/>
          <w:i w:val="false"/>
          <w:caps w:val="false"/>
          <w:smallCaps w:val="false"/>
          <w:sz w:val="20"/>
        </w:rPr>
        <w:t xml:space="preserve">” means the Common Stock purchase warrants delivered to the Purchasers at the applicable Closing in accordance with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hereof, which Common Warrants shall be exercisable immediately and have a term of exercise equal to five years from the date of issuance thereof, in the form of </w:t>
      </w:r>
      <w:r>
        <w:rPr>
          <w:rFonts w:ascii="Times New Roman;Times;Serif" w:hAnsi="Times New Roman;Times;Serif"/>
          <w:b w:val="false"/>
          <w:i w:val="false"/>
          <w:caps w:val="false"/>
          <w:smallCaps w:val="false"/>
          <w:sz w:val="20"/>
          <w:u w:val="single"/>
        </w:rPr>
        <w:t xml:space="preserve">Exhibit </w:t>
      </w:r>
      <w:r>
        <w:rPr>
          <w:rFonts w:ascii="Times New Roman;Times;Serif" w:hAnsi="Times New Roman;Times;Serif"/>
          <w:b w:val="false"/>
          <w:i w:val="false"/>
          <w:caps w:val="false"/>
          <w:smallCaps w:val="false"/>
          <w:sz w:val="20"/>
        </w:rPr>
        <w:t>A attached hereto.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Paul Hastings LLP.</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Convertible Securities</w:t>
      </w:r>
      <w:r>
        <w:rPr>
          <w:rFonts w:ascii="Times New Roman;Times;Serif" w:hAnsi="Times New Roman;Times;Serif"/>
          <w:b w:val="false"/>
          <w:i w:val="false"/>
          <w:caps w:val="false"/>
          <w:smallCaps w:val="false"/>
          <w:sz w:val="20"/>
        </w:rPr>
        <w:t>” means any capital stock or other security of the Company that is at any time and under any circumstances directly or indirectly convertible into, exercisable or exchangeable for, or which otherwise entitles the holder thereof to acquire, any capital stock or other security of the Company (including, without limitation, Common Stock).</w:t>
      </w:r>
    </w:p>
    <w:p>
      <w:pPr>
        <w:pStyle w:val="TextBody"/>
        <w:bidi w:val="0"/>
        <w:spacing w:before="0" w:after="0"/>
        <w:ind w:left="0" w:right="0" w:firstLine="874"/>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3.1(m)</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3.1(bb)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Closing</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Closing Date</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2.1(a).</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3.1(p)</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means the Lock-Up Agreements, dated as of the date hereof, by and among the Company and each of the directors, executive officers, and 10% stockholders of the Company,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means a price per Share equal to the product of (i) 80% multiplied by (ii) the Closing Sale Price of the Common Stock on the Trading Day immediately prior to the applicable Closing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means Joseph Gunnar &amp; Co., LLC.</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xml:space="preserve">” means the Common Stock purchase warrants delivered to certain of the Purchasers at the applicable Closing in accordance with </w:t>
      </w:r>
      <w:r>
        <w:rPr>
          <w:rFonts w:ascii="Times New Roman;Times;Serif" w:hAnsi="Times New Roman;Times;Serif"/>
          <w:b w:val="false"/>
          <w:i w:val="false"/>
          <w:caps w:val="false"/>
          <w:smallCaps w:val="false"/>
          <w:sz w:val="20"/>
          <w:u w:val="single"/>
        </w:rPr>
        <w:t>Section 2.2(a)(iv)</w:t>
      </w:r>
      <w:r>
        <w:rPr>
          <w:rFonts w:ascii="Times New Roman;Times;Serif" w:hAnsi="Times New Roman;Times;Serif"/>
          <w:b w:val="false"/>
          <w:i w:val="false"/>
          <w:caps w:val="false"/>
          <w:smallCaps w:val="false"/>
          <w:sz w:val="20"/>
        </w:rPr>
        <w:t xml:space="preserve"> hereof to the extent any Purchasers elect to receive Pre-Funded Warrants in lieu of Shares, which Pre-Funded Warrants shall be exercisable into shares of Common Stock and shall be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which Pre-Funded Warrants shall be exercisable beginning on the Issuance Date (as defined therein) until all of the Pre-Funded Warrants have been exercised, and shall be exercisable at an exercise price of $0.001 per share.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means any preliminary prospectus included in the Registration Statement, as originally filed or as part of any amendment thereto, or filed with the Commission pursuant to Rule 424(a) of the rules and regulations of the Commission under the Securities Act, including all information, documents and exhibits filed with or incorporated by reference into such preliminary prospectus.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Pricing Prospectus</w:t>
      </w:r>
      <w:r>
        <w:rPr>
          <w:rFonts w:ascii="Times New Roman;Times;Serif" w:hAnsi="Times New Roman;Times;Serif"/>
          <w:b w:val="false"/>
          <w:i w:val="false"/>
          <w:caps w:val="false"/>
          <w:smallCaps w:val="false"/>
          <w:sz w:val="20"/>
        </w:rPr>
        <w:t>” means (i) the Preliminary Prospectus relating to the Shares and Warrant Shares that was included in the Registration Statement immediately prior to [_] p.m. (New York City time) on the date hereof, and (ii) any free writing prospectus (as defined in the Securities Act) identified on Schedule I hereto, taken together. </w:t>
      </w:r>
    </w:p>
    <w:p>
      <w:pPr>
        <w:pStyle w:val="TextBody"/>
        <w:bidi w:val="0"/>
        <w:spacing w:before="0" w:after="0"/>
        <w:ind w:left="0" w:right="0" w:firstLine="874"/>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prospectus filed pursuant to the Registration Statement, including all information, documents and exhibits filed with or incorporated by reference into such final prospectus.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Report</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have the meaning ascribed to such term in the preamble.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Shares, the Warrants and the Warrant Shares.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have the meaning ascribed to such term in the preamble.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Common Stock issued or issuable to each Purchaser pursuant to this Agreement, including any Common Stock underlying the Pre-Funded Warrants but excluding the Warrant Shares.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on Schedule 3.1(a) and shall, where applicable, also include any direct or indirect subsidiary of the Company formed or acquired after the date hereof.</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Lock-Up Agreements, the Warrants, all exhibits and schedules thereto and hereto and any other documents or agreements executed in connection with the transactions contemplated hereunder.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the transfer agent of the Company, and any successor transfer agent of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collectively, the Common Warrants and the Pre-Funded Warrants.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shares of Common Stock issuable upon exercise of the Warrants.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2</w:t>
        <w:br/>
        <w:br/>
        <w:t>PURCHASE AND SALE</w:t>
      </w:r>
    </w:p>
    <w:p>
      <w:pPr>
        <w:pStyle w:val="TextBody"/>
        <w:bidi w:val="0"/>
        <w:spacing w:before="0" w:after="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Closing Sequencing</w:t>
      </w:r>
      <w:r>
        <w:rPr>
          <w:rFonts w:ascii="Times New Roman;Times;Serif" w:hAnsi="Times New Roman;Times;Serif"/>
          <w:b w:val="false"/>
          <w:i w:val="false"/>
          <w:caps w:val="false"/>
          <w:smallCaps w:val="false"/>
          <w:sz w:val="20"/>
        </w:rPr>
        <w:t>. Subject to the satisfaction (or waiver) of the conditions set forth herein, the Company agrees to issue and sell, and the Purchasers, severally and not jointly, agree to purchase, up to an aggregate of $4,000,000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of Shares (or Pre-Funded Warrants in lieu of Shares) and Common Warrants, scheduled as follows: (i) the initial sale and purchase (the “</w:t>
      </w:r>
      <w:r>
        <w:rPr>
          <w:rFonts w:ascii="Times New Roman;Times;Serif" w:hAnsi="Times New Roman;Times;Serif"/>
          <w:b w:val="false"/>
          <w:i w:val="false"/>
          <w:caps w:val="false"/>
          <w:smallCaps w:val="false"/>
          <w:sz w:val="20"/>
          <w:u w:val="single"/>
        </w:rPr>
        <w:t>Initial Closing</w:t>
      </w:r>
      <w:r>
        <w:rPr>
          <w:rFonts w:ascii="Times New Roman;Times;Serif" w:hAnsi="Times New Roman;Times;Serif"/>
          <w:b w:val="false"/>
          <w:i w:val="false"/>
          <w:caps w:val="false"/>
          <w:smallCaps w:val="false"/>
          <w:sz w:val="20"/>
        </w:rPr>
        <w:t>” and the date thereof, the “</w:t>
      </w:r>
      <w:r>
        <w:rPr>
          <w:rFonts w:ascii="Times New Roman;Times;Serif" w:hAnsi="Times New Roman;Times;Serif"/>
          <w:b w:val="false"/>
          <w:i w:val="false"/>
          <w:caps w:val="false"/>
          <w:smallCaps w:val="false"/>
          <w:sz w:val="20"/>
          <w:u w:val="single"/>
        </w:rPr>
        <w:t>Initial Closing Date</w:t>
      </w:r>
      <w:r>
        <w:rPr>
          <w:rFonts w:ascii="Times New Roman;Times;Serif" w:hAnsi="Times New Roman;Times;Serif"/>
          <w:b w:val="false"/>
          <w:i w:val="false"/>
          <w:caps w:val="false"/>
          <w:smallCaps w:val="false"/>
          <w:sz w:val="20"/>
        </w:rPr>
        <w:t xml:space="preserve">”) of an aggregate of $3,000,000 of Shares (or Pre-Funded Warrants in lieu of Shares) and Common Warrants shall take place as soon as practicable, but no later than the Business Day following the satisfaction of all of the closing conditions set forth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applicable to the Initial Closing (other than those to be satisfied at the Initial Closing, but subject to the satisfaction or waiver of such closing conditions); and (ii) the additional sale and purchase (the “</w:t>
      </w:r>
      <w:r>
        <w:rPr>
          <w:rFonts w:ascii="Times New Roman;Times;Serif" w:hAnsi="Times New Roman;Times;Serif"/>
          <w:b w:val="false"/>
          <w:i w:val="false"/>
          <w:caps w:val="false"/>
          <w:smallCaps w:val="false"/>
          <w:sz w:val="20"/>
          <w:u w:val="single"/>
        </w:rPr>
        <w:t>Additional Closing</w:t>
      </w:r>
      <w:r>
        <w:rPr>
          <w:rFonts w:ascii="Times New Roman;Times;Serif" w:hAnsi="Times New Roman;Times;Serif"/>
          <w:b w:val="false"/>
          <w:i w:val="false"/>
          <w:caps w:val="false"/>
          <w:smallCaps w:val="false"/>
          <w:sz w:val="20"/>
        </w:rPr>
        <w:t xml:space="preserve">”) of $1,000,000 of Shares (or Pre-Funded Warrants in lieu of Shares) and Common Warrants, subject to the satisfaction or waiver of all of the closing conditions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applicable to the Additional Closing, shall take place on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Initial Closing (the “</w:t>
      </w:r>
      <w:r>
        <w:rPr>
          <w:rFonts w:ascii="Times New Roman;Times;Serif" w:hAnsi="Times New Roman;Times;Serif"/>
          <w:b w:val="false"/>
          <w:i w:val="false"/>
          <w:caps w:val="false"/>
          <w:smallCaps w:val="false"/>
          <w:sz w:val="20"/>
          <w:u w:val="single"/>
        </w:rPr>
        <w:t>Additional Closing Date</w:t>
      </w:r>
      <w:r>
        <w:rPr>
          <w:rFonts w:ascii="Times New Roman;Times;Serif" w:hAnsi="Times New Roman;Times;Serif"/>
          <w:b w:val="false"/>
          <w:i w:val="false"/>
          <w:caps w:val="false"/>
          <w:smallCaps w:val="false"/>
          <w:sz w:val="20"/>
        </w:rPr>
        <w:t>”). Each of the Initial Closing and the Additional Closing is referred to as a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the date of each such Closing, a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Notwithstanding anything herein to the contrary, to the extent that a Purchaser determines, in its sole discretion, that such Purchaser’s purchase of Shares at a Closing would cause such Purchaser’s beneficial ownership (together with such Purchaser’s Affiliates, and any Person acting as a group together with such Purchaser or any of such Purchaser’s Affiliates) of Common Stock to exceed the Beneficial Ownership Limitation, or as such Purchaser may otherwise choose, such Purchaser shall receive Pre-Funded Warrants in lieu of Shares in such manner to result in the same aggregate portion of the Purchase Price being paid by such Purchaser to the Company.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shall be [9.99]% of the number of shares of the Common Stock outstanding immediately after giving effect to the issuance of the Shares on the applicable Closing Date. Each Purchaser shall deliver to the Company, via wire transfer or a certified check, immediately available funds equal to such Purchaser’s Purchase Price as to the applicable Closing, and the Company shall deliver to each Purchaser its respective Shares (or Pre-Funded Warrants in lieu of Shares) and Common Warrants, as determined pursuant to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and the Company and each Purchaser shall deliver the other items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deliverable at each Closing. Upon satisfaction of the covenants and conditions set forth in </w:t>
      </w:r>
      <w:r>
        <w:rPr>
          <w:rFonts w:ascii="Times New Roman;Times;Serif" w:hAnsi="Times New Roman;Times;Serif"/>
          <w:b w:val="false"/>
          <w:i w:val="false"/>
          <w:caps w:val="false"/>
          <w:smallCaps w:val="false"/>
          <w:sz w:val="20"/>
          <w:u w:val="single"/>
        </w:rPr>
        <w:t>Sections 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w:t>
      </w:r>
      <w:r>
        <w:rPr>
          <w:rFonts w:ascii="Times New Roman;Times;Serif" w:hAnsi="Times New Roman;Times;Serif"/>
          <w:b w:val="false"/>
          <w:i w:val="false"/>
          <w:caps w:val="false"/>
          <w:smallCaps w:val="false"/>
          <w:sz w:val="20"/>
        </w:rPr>
        <w:t>, the Closing shall occur at the offices of Company Counsel or such other location as the parties shall mutually agree.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Closing 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applicable Closing Date, the Company shall deliver or cause to be delivered to each Purchaser the following: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regard to the Initial Closing, this Agreement duly executed by the Company;</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legal opinion of Company Counsel, directed to the Placement Agent and the Purchasers, in a form reasonably acceptable to the Placement Agent and Purchasers;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copy of the irrevocable instructions to the Transfer Agent to credit shares of Common Stock to the applicable balance accounts at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registered in the name of Purchaser or its respective nominee(s), for the Shares equal to such Purchaser’s pro rata portion of the Purchase Price to be paid at the applicable Closing divided by the Per Share Purchase Price (plus, if applicable, such Purchaser’s aggregate exercise price of the Pre-Funded Warrants, provided that such instructions shall state that the number of shares of Common Stock issuable upon exercise of such Purchaser’s Pre-Funded Warrants shall not be issued until exercise of such Purchaser’s Pre-Funded Warrants), registered in the name of such Purchaser;</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duly executed Pre-Funded Warrants, if any, registered in the name of such Purchaser, as applicable to such Purchaser;</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duly executed Common Warrants registered in the name of such Purchaser to purchase up to a number of Warrant Shares equal to 1.5 multiplied by the total number of Shares and Pre-Funded Warrants purchased by such Purchaser;</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Company’s wire instructions, on Company letterhead and executed by the Executive Chairman, Chief Executive Officer, or Chief Financial Officer;</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with regard to the Initial Closing, the duly executed Lock-Up Agreements;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with regard to the Initial Closing, the Preliminary Prospectus and the Prospectus (which will be deemed to be delivered in accordance with Rule 172 under the Securities Act);</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duly executed Officer’s Certificate, substantially in the form acceptable to the Purchasers;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duly executed Secretary’s Certificate, substantially in the form acceptable to the Purchasers;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reimbursement for legal expenses incurred by the Purchasers for legal counsel in connection with preparation of the Transaction Documents in an aggregate amount equal to $50,000, which the parties acknowledge has already been paid; and</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all documents, instruments and other writings required to be delivered by the Company to the Purchasers on or before the applicable Closing Date pursuant to any provision of this Agreement or in order to implement and effect the transactions contemplated hereby.</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applicable Closing Date, each Purchaser shall deliver or cause to be delivered to the Company the following:</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regard to the Initial Closing, this Agreement duly executed by such Purchaser; and</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pro rata portion of the Purchase Price to be paid at the applicable Closing (minus, if applicable, a Purchaser’s aggregate exercise price of the Pre-Funded Warrants, which amounts shall be paid as and when such Pre-Funded Warrants are exercised for cash) as set forth on such Purchaser’s signature hereto by wire transfer to the account specified in writing by the Company.</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each Closing are subject to the following conditions being met: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on such Closing Date of the representations and warranties of the Purchasers contained herein (unless as of a specific date therein in which case they shall be accurate as of such date);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such Closing Date shall have been performed; and</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delivery by each Purchaser of the items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of this Agreement applicable to such Closing Date.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each Closing are subject to the following conditions being met: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such Closing Date of the representations and warranties of the Company contained herein (unless as of a specific date therein in which case they shall be accurate as of such date);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such Closing Date shall have been performed;</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delivery by the Company of the items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of this Agreement applicable to such Closing Date;</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Registration Statement shall be effective and available for the issuance and sale of the Securities hereunder;</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from the date hereof to such Closing Date, trading in the Common Stock shall not have been suspended by the Commission or the Company’s principal Trading Market, and, at any time prior to such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such Closing;</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with regard to the Additional Closing, on the Trading Day immediately prior to the Closing Date for such Closing, the Closing Sale Price for the Common Stock on the Trading Market is at least $[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per share; and</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with regard to the Additional Closing, the average daily trading volume of the Common Stock on the Trading Market during the ten (10) consecutive Trading Days immediately prior to the Closing Date for such Closing is at least $100,000.</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br/>
        <w:t>REPRESENTATIONS AND WARRANTIES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or incorporated by reference, in the Registration Statement, which shall be deemed a part hereof and shall qualify any representation made herein to the extent of the disclosure contained therein, the Company hereby makes the following representations and warranties as of the date hereof and as of each Closing Date to each Purchaser (unless as of a specific date therein, in which case they shall be accurate as of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Exhibit 21.1 to the Registration Statement.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NTD: To insert Closing Sale Price of the Common Stock on the Trading Day immediately prior to the Initial Closing Date.</w:t>
            </w:r>
          </w:p>
        </w:tc>
      </w:tr>
    </w:tbl>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described in the Registration Statement, the Preliminary Prospectus, and the Prospectus.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except to the extent the Company has obtained consent or waiver,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without limitation, foreign, federal and state securities laws and regulations and the rules and regulations of the Trading Market and including all applicable foreign, federal and state laws, rules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xml:space="preserve">.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w:t>
      </w:r>
      <w:r>
        <w:rPr>
          <w:rFonts w:ascii="Times New Roman;Times;Serif" w:hAnsi="Times New Roman;Times;Serif"/>
          <w:b w:val="false"/>
          <w:i w:val="false"/>
          <w:caps w:val="false"/>
          <w:smallCaps w:val="false"/>
          <w:sz w:val="20"/>
          <w:u w:val="single"/>
        </w:rPr>
        <w:t>Sections 4.5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4.7</w:t>
      </w:r>
      <w:r>
        <w:rPr>
          <w:rFonts w:ascii="Times New Roman;Times;Serif" w:hAnsi="Times New Roman;Times;Serif"/>
          <w:b w:val="false"/>
          <w:i w:val="false"/>
          <w:caps w:val="false"/>
          <w:smallCaps w:val="false"/>
          <w:sz w:val="20"/>
        </w:rPr>
        <w:t xml:space="preserve"> of this Agreement, (ii) the filing with the Commission of the Prospectus, (iii) the notice and/or application(s) to each applicable Trading Market for the issuance and sale of the Securities and the listing of the Shares and Warrant Shares for trading thereon in the time and manner required thereby, and (iv) such filings as are required to be made under applicable state securities laws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Shares are duly authorized and, when issued and paid for in accordance with the applicable Transaction Documents, will be duly and validly issued, fully paid and nonassessable, free and clear of all Liens. The Warrants are duly authorized and, when issued in accordance with this Agreement, will be duly and validly issued and constitute the legal, valid and binding obligations of the Company, enforceable against the Company in accordance with their terms, free and clear of all Liens. The Warrant Shares, when issued in accordance with the terms of the Transaction Documents, will be validly issued, fully paid and nonassessable, free and clear of all Liens imposed by the Company. The Company has reserved from its duly authorized capital stock and registered under the Securities Act (pursuant to the Registration Statement and the Prospectus) 100% of the Shares, 100% of the Warrant Shares issuable upon exercise of the Pre-Funded Warrants and 250% of the Warrant Shares issuable upon exercise of the Common Warrants. The Company has prepared and filed the Registration Statement in conformity with the requirements of the Securities Act, which became effective on [_], 2026, including the Pricing Prospectus and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Pricing Prospectus or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applicable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Pricing Prospectus and the Prospectus and any amendments or supplements thereto, at the time the Pricing Prospectus or the Prospectus, as applicable, or any amendment or supplement thereto was issued and at the applicable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S-1.</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as of the date hereof is as set forth in the Registration Statement and includes the number of shares of Common Stock owned beneficially, and of record, by Affiliates of the Company as of the date hereof. The Company has not issued any capital stock since the filing of the Registration Statement other than pursuant to the exercise of compensatory awards under the Company’s equity incentive plans, the issuance of shares of Common Stock to employees pursuant to the Company’s employee stock purchase plans and pursuant to the conversion and/or exercise of Common Stock Equivalents outstanding as of the date of the Registration Statement. Except to the extent the Company has obtained consent or waiver, no Person has any right of first refusal, preemptive right, right of participation, or any similar right to participate in the transactions contemplated by the Transaction Documents. Except as set forth in the Registration Statement,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 The Company is not a “shell” company as defined in Section 405 of the Securities Act.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Public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being collectively referred to herein as the “</w:t>
      </w:r>
      <w:r>
        <w:rPr>
          <w:rFonts w:ascii="Times New Roman;Times;Serif" w:hAnsi="Times New Roman;Times;Serif"/>
          <w:b w:val="false"/>
          <w:i w:val="false"/>
          <w:caps w:val="false"/>
          <w:smallCaps w:val="false"/>
          <w:sz w:val="20"/>
          <w:u w:val="single"/>
        </w:rPr>
        <w:t>Public Reports</w:t>
      </w:r>
      <w:r>
        <w:rPr>
          <w:rFonts w:ascii="Times New Roman;Times;Serif" w:hAnsi="Times New Roman;Times;Serif"/>
          <w:b w:val="false"/>
          <w:i w:val="false"/>
          <w:caps w:val="false"/>
          <w:smallCaps w:val="false"/>
          <w:sz w:val="20"/>
        </w:rPr>
        <w:t>”) on a timely basis or has received a valid extension of such time of filing and has filed any such Public Reports prior to the expiration of any such extension. As of their respective dates, the Public Reports complied in all material respects with the requirements of the Securities Act and the Exchange Act, as applicable, and none of the Public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Public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Public Reports, except as set forth in the Pricing Prospectus,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incentive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Registration Statement,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None of such Actions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to the knowledge of the Company, any director or executive officer thereof, is or has been the subject of any Action involving a claim of violation of or liability under federal or state securities laws or a claim of breach of fiduciary duty. The Company has not received notice of, and to the knowledge of the Company, there is not pending or contemplated, any investigation by the Commission involving the Company or any current or former director or executive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material liability with respect to any of the foregoing matters. The Company and its Subsidiaries are in material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written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international, foreign, federal, state and local laws relating to taxes, environmental protection, space, land use,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have complied with and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and maintained all permits licenses or other approvals required of them under applicable Environmental Laws to conduct their respective businesses; and (iii) have complied with and are in compliance with all terms and conditions of any such permit, license or approval, except as could not have or reasonably be expected to have, individually or in the aggregate, a Material Adverse Effect.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Public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written notice of proceedings relating to the revocation or modification of any Material Permit.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its Subsidiaries own, or possess adequate rights to use, all patents, patent applications, trademarks, trademark applications, service marks, trade names, trade secrets, inventions, know-how (including trade secrets and other unpatented and/or unpatentable proprietary or confidential information, systems or procedures), copyrights, licenses and other intellectual property rights and similar rights as are material for the conduct of their respective businesses as currently conducted or as currently proposed to be conducted, in each case, as described in the Public Reports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To the knowledge of the Company, neither the Company nor its Subsidiaries is infringing, any valid claim of any issued patents, copyrights or trademarks of others. The Company has not conducted a “freedom to operate” study.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action would not reasonably be expected to have a Material Adverse Effect. Neither the Company nor any Subsidiary has received, since the date of the latest audited financial statements included within the Public Reports, a written notice of a claim or otherwise has any knowledge that the Company’s products or planned products as described in the Public Reports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To the knowledge of the Company, no employee, consultant or independent contractor of the Company or its Subsidiaries is in or has ever been in violation in any material respect of any term of any employment contract, patent disclosure agreement, invention assignment agreement, non- 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its Subsidiaries or actions undertaken while employed or engaged with the Company or its Subsidiaries. The Company and its Subsidiaries have taken reasonable measures to protect its confidential information and trade secrets of its business and to maintain and safeguard the Company’s Intellectual Property Rights, including the execution of appropriate nondisclosure and confidentiality agreements, and to the Company’s knowledge, no employee of the Company or its Subsidiaries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All patents and patent applications owned by or licensed to the Company or its Subsidiaries or under which the Company or its Subsidiaries have rights, to the knowledge of the Company, been duly and properly filed and maintained; to the knowledge of the Company, there are no material defects in any of the patents or patent applications disclosed in the Public Reports as being owned by the Company or its Subsidiaries; to the knowledge of the Company, the parties prosecuting such applications have complied with their duty of candor and disclosure to the United States Patent and Trademark Office (the “</w:t>
      </w:r>
      <w:r>
        <w:rPr>
          <w:rFonts w:ascii="Times New Roman;Times;Serif" w:hAnsi="Times New Roman;Times;Serif"/>
          <w:b w:val="false"/>
          <w:i w:val="false"/>
          <w:caps w:val="false"/>
          <w:smallCaps w:val="false"/>
          <w:sz w:val="20"/>
          <w:u w:val="single"/>
        </w:rPr>
        <w:t>USPTO</w:t>
      </w:r>
      <w:r>
        <w:rPr>
          <w:rFonts w:ascii="Times New Roman;Times;Serif" w:hAnsi="Times New Roman;Times;Serif"/>
          <w:b w:val="false"/>
          <w:i w:val="false"/>
          <w:caps w:val="false"/>
          <w:smallCaps w:val="false"/>
          <w:sz w:val="20"/>
        </w:rPr>
        <w:t>”)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Purchase Price.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Registration Statement and as contemplated herein,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Except as set forth in the Registration Statement,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applicable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Registration Statement, the Company’s internal accounting controls are effective. The Company and the Subsidiaries maintain disclosure controls and procedures, as such term is defined in Rules 13a-15(e) and 15d-15(e) under the Exchange Act, that are designed to ensure that information required to be disclosed by the Company in the reports it files or submits under the Exchange Act is recorded, processed, summarized, and reported within the time periods specified in Commission rules and forms, and that such information is accumulated and communicated to the Company’s management, including its Executive Chairman, Chief Executive Officer and Chief Financial Officer, to allow timely decisions regarding required disclosure. Under the supervision and with the participation of the Company’s management, the Company’s certifying officers have evaluated the effectiveness of the disclosure controls and procedures of the Company and the Subsidiaries as of the end of the period covered by the most recently filed Public Report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Public Report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are reasonably likely to materially affect, the internal control over financial reporting of the Company and its Subsidiaries.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as set forth in the Prospectus,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[Reserved.]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immediately after receipt of payment for the Securities will not be, an “investment company” or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No Person has any right to cause the Company or any Subsidiary to effect the registration under the Securities Act of any securities of the Company or any Subsidiary.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Registration Statement,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Registration Statement,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 The Company believes that, taking into account the Company’s receipt of the proceeds from this offering and the Company’s twelve-month projections, it will satisfy the Trading Market’s continued listing requirements relating to shareholders’ equity.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Assuming the accuracy of the Purchasers’ representations and warranties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applicable Closing Date, after giving effect to the receipt by the Company of the proceeds from the sale of the Securities hereunder,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applicable Closing Date. The Registration Statement sets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Except as disclosed in the Registration Statement, neither the Company nor any Subsidiary is in default with respect to any Indebtedness.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[Reserved.]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offered, promised or authorized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or any applicable law or regulation implementing the OECD Convention on Combating Bribery of Foreign Public Officials in International Business Transactions, or committed an offence under the Bribery Act of 2010 of the United Kingdom, or any other anti-bribery or anti- corruption law applicable to the Company and/or its Subsidiaries.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independent registered public accounting firm is set forth in the Public Reports. To the knowledge and belief of the Company, such accounting firm (i) is a registered public accounting firm as required by the Exchange Act and the rules of the Public Company Accounting Oversight Board (“</w:t>
      </w:r>
      <w:r>
        <w:rPr>
          <w:rFonts w:ascii="Times New Roman;Times;Serif" w:hAnsi="Times New Roman;Times;Serif"/>
          <w:b w:val="false"/>
          <w:i w:val="false"/>
          <w:caps w:val="false"/>
          <w:smallCaps w:val="false"/>
          <w:sz w:val="20"/>
          <w:u w:val="single"/>
        </w:rPr>
        <w:t>PCAOB</w:t>
      </w:r>
      <w:r>
        <w:rPr>
          <w:rFonts w:ascii="Times New Roman;Times;Serif" w:hAnsi="Times New Roman;Times;Serif"/>
          <w:b w:val="false"/>
          <w:i w:val="false"/>
          <w:caps w:val="false"/>
          <w:smallCaps w:val="false"/>
          <w:sz w:val="20"/>
        </w:rPr>
        <w:t>”) whose registration has not been suspended or revoked and who has not requested such registration to be withdrawn, (ii) shall express its opinion with respect to the financial statements to be included in the Company’s Annual Report on Form 10-K for the fiscal year ending March 31, 2026, (iii) is in compliance with the applicable requirements relating to the qualification of accountants under Rule 2-01 of Regulation S-X under the Act.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No Disagreements with Accountants and Lawyers</w:t>
      </w:r>
      <w:r>
        <w:rPr>
          <w:rFonts w:ascii="Times New Roman;Times;Serif" w:hAnsi="Times New Roman;Times;Serif"/>
          <w:b w:val="false"/>
          <w:i w:val="false"/>
          <w:caps w:val="false"/>
          <w:smallCaps w:val="false"/>
          <w:sz w:val="20"/>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(except for Section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transactions, may negatively impact the market price of the Company’s publicly-traded securities, (iii) any Purchaser, and counter-parties in “derivative” transactions to which any such Purchaser is a party, directly or indirectly, may presently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 No stock option granted under the Company’s equity incentive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No Conflicts with Sanctions Laws</w:t>
      </w:r>
      <w:r>
        <w:rPr>
          <w:rFonts w:ascii="Times New Roman;Times;Serif" w:hAnsi="Times New Roman;Times;Serif"/>
          <w:b w:val="false"/>
          <w:i w:val="false"/>
          <w:caps w:val="false"/>
          <w:smallCaps w:val="false"/>
          <w:sz w:val="20"/>
        </w:rPr>
        <w:t>. Neither the Company nor any of its Subsidiaries, directors, officers, or employees, nor, to the knowledge of the Company, any agent, employee,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and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or target of Sanctions, including, without limitation, Cuba, Iran, North Korea and Syria (each, a “</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(5)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[Reserved.]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to the knowledge of the Company, its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applicable money laundering statutes of all jurisdictions where the Company or any Subsidiary is subject to, the applicable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[Reserved.]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The Company is not aware of any person that has been or will be paid (directly or indirectly) remuneration for solicitation of purchasers in connection with the sale of any Securities.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Government Audits; Trade Controls</w:t>
      </w:r>
      <w:r>
        <w:rPr>
          <w:rFonts w:ascii="Times New Roman;Times;Serif" w:hAnsi="Times New Roman;Times;Serif"/>
          <w:b w:val="false"/>
          <w:i w:val="false"/>
          <w:caps w:val="false"/>
          <w:smallCaps w:val="false"/>
          <w:sz w:val="20"/>
        </w:rPr>
        <w:t>. To the knowledge of the Company, there are no outstanding allegations of improper activities arising from any government audit or non-audit review, including without limitation, by the Defense Contract Audit Agency, of the Company or any of its Subsidiaries or work performed by the Company or any of its Subsidiaries that would, individually or in the aggregate, have a Material Adverse Effect. In the past five (5) years, the Company and each of its Subsidiaries has been and is in compliance in all material respects with any applicable United States national customs or export control laws and regulations, including the Export Administration Regulations, the Arms Export Control Act, and the International Traffic in Arms Regulations.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ERISA. Except as disclosed in the Public Reports, the Company is not a party to an “employee benefit plan,” as defined in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which: (i) is subject to any provision of ERISA and (ii) is or was at any time maintained, administered or contributed to by the Company or any of its ERISA Affiliates (as defined hereafter). These plans are referred to collectively herein as the “</w:t>
      </w:r>
      <w:r>
        <w:rPr>
          <w:rFonts w:ascii="Times New Roman;Times;Serif" w:hAnsi="Times New Roman;Times;Serif"/>
          <w:b w:val="false"/>
          <w:i w:val="false"/>
          <w:caps w:val="false"/>
          <w:smallCaps w:val="false"/>
          <w:sz w:val="20"/>
          <w:u w:val="single"/>
        </w:rPr>
        <w:t>Employee Plans</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of any person or entity means any other person or entity which, together with that person or entity, could be treated as a single employer under Section 414(b), (c), (m) or (o)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Each Employee Plan has been maintained in material compliance with its terms and the requirements of applicable law. No Employee Plan is subject to Title IV of ERISA. The Public Reports identify each employment, severance or other similar agreement, arrangement or policy and each material plan or arrangement required to be disclosed pursuant to the rules and regulations under the Securities Act and Exchange Act providing for insurance coverage (including any self-insured arrangements), workers’ compensation, disability benefits, severance benefits, supplemental unemployment benefits, vacation benefits or retirement benefits, or deferred compensation, profit-sharing, bonuses, stock options, stock appreciation rights or other forms of incentive compensation, or post-retirement insurance, compensation or benefits, which: (i) is not an Employee Plan; (ii) is entered into, maintained or contributed to, as the case may be, by the Company or any of its ERISA Affiliates; and (iii) covers any officer or director or former officer or director of the Company or any of its ERISA Affiliates. These agreements, arrangements, policies or plans are referred to collectively as “Benefit Arrangements.” Each Benefit Arrangement has been maintained in material compliance with its terms and with the requirements of applicable law. Except as disclosed in the Public Reports, there is no liability in respect of post-retirement health and medical benefits for retired employees of the Company or any of its ERISA Affiliates, other than medical benefits required to be continued under applicable law. No “prohibited transaction” (as defined in either Section 406 of ERISA or Section 4975 of the Code) has occurred with respect to any Employee Plan; and each Employee Plan that is intended to be qualified under Section 401(a) of the Code is so qualified, and nothing has occurred, whether by action or by failure to act, which could cause the loss of such qualification.</w:t>
      </w:r>
    </w:p>
    <w:p>
      <w:pPr>
        <w:pStyle w:val="TextBody"/>
        <w:bidi w:val="0"/>
        <w:spacing w:before="0" w:after="0"/>
        <w:ind w:left="0" w:right="0" w:firstLine="2448"/>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2448"/>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z w:val="20"/>
          <w:u w:val="single"/>
        </w:rPr>
        <w:t>Privacy and Data Security Laws and Regulations</w:t>
      </w:r>
      <w:r>
        <w:rPr>
          <w:rFonts w:ascii="Times New Roman;Times;Serif" w:hAnsi="Times New Roman;Times;Serif"/>
          <w:b w:val="false"/>
          <w:i w:val="false"/>
          <w:caps w:val="false"/>
          <w:smallCaps w:val="false"/>
          <w:sz w:val="20"/>
        </w:rPr>
        <w:t>. The Company and the Subsidiaries have established and maintain appropriate technical, physical and organizational measures and security systems and technologies in compliance with all material data security requirements under all applicable laws designed to protect Company data against accidental or unlawful processing in a manner appropriate to the risks represented by the processing of such data by the Company and its data processors, in all material respects. The Company and the Subsidiaries have operated and currently operate their respective businesses in a manner compliant with all applicable foreign, federal, state and local laws and regulations, all contractual obligations and all Company policies (internal and posted) related to privacy and data security applicable to the Company’s and the Subsidiaries’ collection, use, handling, transfer, transmission, storage, disclosure and/or disposal of the data of their respective customers, employees and other third parties (the “</w:t>
      </w:r>
      <w:r>
        <w:rPr>
          <w:rFonts w:ascii="Times New Roman;Times;Serif" w:hAnsi="Times New Roman;Times;Serif"/>
          <w:b w:val="false"/>
          <w:i w:val="false"/>
          <w:caps w:val="false"/>
          <w:smallCaps w:val="false"/>
          <w:sz w:val="20"/>
          <w:u w:val="single"/>
        </w:rPr>
        <w:t>Privacy and Data Security Laws</w:t>
      </w:r>
      <w:r>
        <w:rPr>
          <w:rFonts w:ascii="Times New Roman;Times;Serif" w:hAnsi="Times New Roman;Times;Serif"/>
          <w:b w:val="false"/>
          <w:i w:val="false"/>
          <w:caps w:val="false"/>
          <w:smallCaps w:val="false"/>
          <w:sz w:val="20"/>
        </w:rPr>
        <w:t>”) and there has been no non-compliance with such Privacy and Data Security Laws that would be reasonably expected to have, individually or in the aggregate, a Material Adverse Effect. There has been no loss or unauthorized access, use, modification or breach of security of customer, employee, third party or other confidential information, including data of the Company and its Subsidiaries, maintained by or on behalf of the Company and the Subsidiaries, and neither the Company nor any of the Subsidiaries has notified, nor has the current intention or obligation to notify, any customer, governmental entity or the media of any such event with regard to any material data breach.</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each Closing Date to the Company as follows (unless as of a specific date therein, in which case they shall be accurate as of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Own Account</w:t>
      </w:r>
      <w:r>
        <w:rPr>
          <w:rFonts w:ascii="Times New Roman;Times;Serif" w:hAnsi="Times New Roman;Times;Serif"/>
          <w:b w:val="false"/>
          <w:i w:val="false"/>
          <w:caps w:val="false"/>
          <w:smallCaps w:val="false"/>
          <w:sz w:val="20"/>
        </w:rPr>
        <w:t>. Such Purchaser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and on each date on which it exercise any Warrants, it will be, either: (i) an “accredited investor” as defined in Rule 501(a)(1), (a)(2), (a)(3), (a)(7), (a)(8), (a)(9), (a)(12), or (a)(13) under the Securities Act or (ii) a “qualified institutional buyer” as defined in Rule 144A(a) under the Securities Act.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Public Reports, Transaction Documents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and agrees that the representations contained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4</w:t>
        <w:br/>
        <w:br/>
        <w:t>OTHER AGREEMENTS OF THE PARTIES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[Reserved.]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Securities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 Until the earlier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in a manner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xml:space="preserve">. Except with respect to the material pricing terms of the transactions contemplated by the Transaction Documents, which shall be disclosed pursuant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 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hereunder for working capital and general corporate purposes and for strategic investments and acquisitions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arising out of, in connection with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For the avoidance of doubt, the Company will reimburse each Purchaser Party for all reasonable expenses (including actual, documented and reasonable fees and expenses of counsel) as they are incurred in connection with investigating, preparing, pursuing or defending any such action whether or not pending or threatened and whether or not any Purchaser Party is a party, provided that the Company will not be responsible for any losses, claims, damages or liabilities (or expense relating thereto) that have resulted from the bad faith, gross negligence or intentional misconduct of any Purchaser Party.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actual, documented and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Company will not, without the Purchaser Party’s prior written consent, settle, compromise, consent to the entry of any judgment in or otherwise seek to terminate any action, claim, suit or proceeding in respect of which indemnification may be sought hereunder (whether or not any Purchaser Party is a party thereto) unless such settlement, compromise, consent or termination includes a release of each Purchaser Party from any liabilities asserted against such Purchaser Party arising out of such action, claim, suit or proceeding. If the indemnification provided for in this Section is judicially determined to be unavailable to a Purchaser Party in respect of any losses, claims, damages or liabilities referred to herein, then, in lieu of indemnifying such Purchaser Party hereunder, the Company shall contribute to the amount paid or payable by such Purchaser Party as a result of such losses, claims, damages or liabilities (and expense relating thereto): (i) in such proportion as is appropriate to reflect the relative benefits to the applicable Purchaser Party, on the one hand, and the Company, on the other hand, of the transaction or (ii) if the allocation provided by clause (i) above is not available, in such proportion as is appropriate to reflect not only the relative benefits referred to in such clause (i) but also the relative fault of each of the applicable Purchaser Party and the Company, as well as any other relevant equitable considerations; provided, however, that in no event shall any Purchaser Party’s aggregate contribution to the amount paid or payable exceed such Purchaser’s aggregate Purchase Price. Assuming that the Company has fully satisfied or agreed to satisfy the amount of its obligations provided for herein to the Purchaser Party, and have agreed that the Purchaser Party shall have no further liabilities in connection therewith, then the Company may take control of any pending action or litigation in order to reduce the expenses in connection therewith. The indemnification and contribution required by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number of its duly authorized and unissued shares of Common Stock equal to (i) the number of Shares issuable pursuant to this Agreement, (ii) 100% of the number of Warrant Shares issuable pursuant to any exercise of the Pre-Funded Warrants and (iii) 250% of the maximum number of Warrant Shares issuable pursuant to any exercise of the Common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 xml:space="preserve">Listing of </w:t>
      </w:r>
      <w:r>
        <w:rPr>
          <w:rFonts w:ascii="Times New Roman;Times;Serif" w:hAnsi="Times New Roman;Times;Serif"/>
          <w:b w:val="false"/>
          <w:i w:val="false"/>
          <w:caps w:val="false"/>
          <w:smallCaps w:val="false"/>
          <w:sz w:val="20"/>
        </w:rPr>
        <w:t>Common Stock. The Company shall: (i) in the time and manner required by the principal Trading Market, prepare and file with such Trading Market an additional shares listing application covering a number of shares of Common Stock on the date of such application for the Shares and Warrant Shares, (ii) take all steps necessary to cause such shares of Common Stock to be approved for listing or quotation on such Trading Market, (iii) provide to the Purchasers evidence of such listing or quotation and (iv) maintain the listing or quotation of such Common Stock on such date on such Trading Market or another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Additional Issuance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that for the period commencing on the date hereof and ending on the earlier of the ninetieth (90th) day after the most recent Closing Date and the date upon which all Warrants have been exercised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xml:space="preserve">”), the Company shall not (i) directly or indirectly issue, offer, sell, grant any option, restricted stock unit or right to purchase, or otherwise dispose of (or announce any issuance, offer, sale, grant of any option or right to purchase or other disposition of) any shares of Common Stock or any Common Stock Equivalents or (ii) file any new registration statement or amendment or supplement thereto, other than the Prospectus, amendments or supplements to registration statements filed prior to the date hereof, or registration statements on Form S-8 in connection with any employee benefit plan or Approved Stock Plan, or a confidential draft registration statement on Form S-1 or Form S-3. Notwithstanding the foregoing, this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shall not apply in respect of the issuance of (collectively, the “</w:t>
      </w:r>
      <w:r>
        <w:rPr>
          <w:rFonts w:ascii="Times New Roman;Times;Serif" w:hAnsi="Times New Roman;Times;Serif"/>
          <w:b w:val="false"/>
          <w:i w:val="false"/>
          <w:caps w:val="false"/>
          <w:smallCaps w:val="false"/>
          <w:sz w:val="20"/>
          <w:u w:val="single"/>
        </w:rPr>
        <w:t>Exempt Issuances</w:t>
      </w:r>
      <w:r>
        <w:rPr>
          <w:rFonts w:ascii="Times New Roman;Times;Serif" w:hAnsi="Times New Roman;Times;Serif"/>
          <w:b w:val="false"/>
          <w:i w:val="false"/>
          <w:caps w:val="false"/>
          <w:smallCaps w:val="false"/>
          <w:sz w:val="20"/>
        </w:rPr>
        <w:t>”) (A) shares of Common Stock or standard options to purchase or restricted stock units to acquire Common Stock to directors, officers, employees or consultants of the Company in their capacity as such pursuant to an Approved Stock Plan; (B) shares of Common Stock issued upon the conversion, exercise, or exchange of Convertible Securities (other than standard equity awards to purchase Common Stock issued pursuant to an Approved Stock Plan that are covered by clause (A) above) issued prior to the date hereof, provided that the conversion, exercise, exchange or other method of issuance (as the case may be) of any such Convertible Security is made solely pursuant to the conversion, exercise, exchange or other method of issuance (as the case may be) provisions of such Convertible Security that were in effect on the date immediately prior to the date of this Agreement, the conversion, exercise or issuance price of any such Convertible Securities (other than standard equity awards to purchase Common Stock issued pursuant to an Approved Stock Plan that are covered by clause (A) above) is not lowered, none of such Convertible Securities (other than standard equity awards to purchase Common Stock issued pursuant to an Approved Stock Plan that are covered by clause (A) above) are amended to increase the number of shares issuable thereunder and none of the terms or conditions of any such Convertible Securities (other than standard equity awards to purchase Common Stock issued pursuant to an Approved Stock Plan that are covered by clause (A) above) are otherwise materially changed in any manner that adversely affects any Purchaser; (C the Shares and the Warrant Shares, (D) Common Stock or Convertible Securities issued in connection with acquisitions or any licensing, commercialization, joint venture, technology transfer, acquisition, development collaboration or other strategic transactions or institutional investments or partnerships; and shall not apply to the filing of any amendments or supplements to any existing resale registration statements contained in the Public Reports.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hereof until the earlier of six (6) months from the most recent Closing Date and the date as of which the Purchasers no longer hold Securities, the Company shall be prohibited from entering into or agreeing to enter into a Variable Rate Transaction. “</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 the market offering”, whereby the Company may issue securities at a future determined price, regardless of whether shares pursuant to such agreement have actually been issued and regardless of whether such agreement is subsequently canceled; provided that Exempt Issuances as provided in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above shall not be considered Variable Rate Transactions. Any Purchaser shall be entitled to obtain injunctive relief against the Company to preclude any such issuance, which remedy shall be in addition to any right to collect damages.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Each Purchaser, severally and not jointly with the other Purchasers, covenants that until such time as the transactions contemplated by this Agreement are publicly disclosed by the Company pursuant to the initial press release as described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and (iii) no Purchaser shall have any duty of confidentiality or duty not to trade in the securities of the Company to the Company or its Subsidiaries, or any of their respective officers, directors, employees, Affiliates or agent, including , without limitation, the Placement Agent after the issuance of the initial press release as described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Exercise Procedures</w:t>
      </w:r>
      <w:r>
        <w:rPr>
          <w:rFonts w:ascii="Times New Roman;Times;Serif" w:hAnsi="Times New Roman;Times;Serif"/>
          <w:b w:val="false"/>
          <w:i w:val="false"/>
          <w:caps w:val="false"/>
          <w:smallCaps w:val="false"/>
          <w:sz w:val="20"/>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val="false"/>
          <w:i w:val="false"/>
          <w:caps w:val="false"/>
          <w:smallCaps w:val="false"/>
          <w:sz w:val="20"/>
          <w:u w:val="single"/>
        </w:rPr>
        <w:t>Blue Sky Filings</w:t>
      </w:r>
      <w:r>
        <w:rPr>
          <w:rFonts w:ascii="Times New Roman;Times;Serif" w:hAnsi="Times New Roman;Times;Serif"/>
          <w:b w:val="false"/>
          <w:i w:val="false"/>
          <w:caps w:val="false"/>
          <w:smallCaps w:val="false"/>
          <w:sz w:val="20"/>
        </w:rPr>
        <w:t>.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Maintaining the Registration Statement</w:t>
      </w:r>
      <w:r>
        <w:rPr>
          <w:rFonts w:ascii="Times New Roman;Times;Serif" w:hAnsi="Times New Roman;Times;Serif"/>
          <w:b w:val="false"/>
          <w:i w:val="false"/>
          <w:caps w:val="false"/>
          <w:smallCaps w:val="false"/>
          <w:sz w:val="20"/>
        </w:rPr>
        <w:t>.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of the Warrant Shares) is not effective or is not otherwise available for the 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registering the issuance of the Warrant Shares effective during the term of the Warrants.</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Effect of Failure to Maintain Effectiveness of any Registration Statement</w:t>
      </w:r>
      <w:r>
        <w:rPr>
          <w:rFonts w:ascii="Times New Roman;Times;Serif" w:hAnsi="Times New Roman;Times;Serif"/>
          <w:b w:val="false"/>
          <w:i w:val="false"/>
          <w:caps w:val="false"/>
          <w:smallCaps w:val="false"/>
          <w:sz w:val="20"/>
        </w:rPr>
        <w:t>. If (A) the Company fails to maintain a registration statement covering the sale of the Warrant Shares issuable upon exercise of the Warrants required to be covered thereby and required to be filed by the Company pursuant to this Agreement or if the Registration Statement is not effective for any reason or the prospectus contained therein is not available for use for any reason and (B) the Warrant Shares cannot be issued without any restrictive legend, then, the Company shall enter into an exchange agreement with the Purchaser, pursuant to Section 3(a)(9) of the Securities Act, in order to allow the Purchasers to be able to sell the Warrant Shares.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5</w:t>
        <w:br/>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as to such Purchaser’s obligations hereunder only and without any effect whatsoever on the obligations between the Company and the other Purchasers, by written notice to the other parties, if a Closing has not been consummated on or before the fifth (5th) Trading Day following the date hereof, provided, however, that no such termination will affect the right of any party to sue for any breach by any other party (or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The Company shall deliver to each Purchaser, prior to each Closing, a completed and executed copy of a Closing Statement, attached hereto as Annex A.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conversion or exercise notice delivered by a Purchaser), stamp taxes and other taxes and duties levied in connection with the delivery of any Securities to the Purchasers.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Pricing Prospectus and the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xml:space="preserve">. No provision of this Agreement may be waived, modified, supplemented or amended except in a written instrument signed, in the case of an amendment, by the Company and Purchasers which purchased at least 50.1% in interest of the Securities based on such Purchasers’ aggregate Purchase Prices hereunder (or, prior to a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be binding upon each Purchaser and holder of Securities and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The Placement Agent shall be the third party beneficiary of the representations and warranties of the Company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the representations and warranties of the Purchasers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and each of the Transaction Documents will be deemed to have been made and delivered in the State of Delaware, and the binding provisions of this Agreement, the Transaction Documents, and the transactions contemplated hereby, will be governed as to validity, interpretation, construction, effect and in all other respects by the internal laws of the State of Delaware, without regard to the conflict of laws principles thereof. Each of the parties hereto: (i) agrees that any legal suit, Action or Proceeding arising out of or relating to Agreement and/or the transactions contemplated hereby will be instituted exclusively in the courts located in the City of New York, County of New York, State of New York, (ii) irrevocably waives any objection which it may have or hereafter to the venue of any such suit, action or proceeding, (iii) irrevocably waives, and agrees not to assert in any Action or Proceeding, any claim that it is not personally subject to the jurisdiction of any such court, that such action or proceeding is improper or is an inconvenient venue for such Action or Proceeding, and (iv) irrevocably consents to the exclusive jurisdiction of the state courts located in the City of New York, County of New York, State of New York, in any such suit, action or proceeding, waiving any, and consenting not to assert any, basis for seeking transfer or removal of such action to any other court, whether federal or state, unless the New York court in which such action or proceeding was commenced first declines jurisdiction.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each Closing and the delivery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 For the avoidance of doubt, the average daily trading volume figures expressed in dollar amounts shall not be adjusted for reverse or forward share splits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925"/>
        <w:gridCol w:w="3785"/>
      </w:tblGrid>
      <w:tr>
        <w:trPr/>
        <w:tc>
          <w:tcPr>
            <w:tcW w:w="1925" w:type="dxa"/>
            <w:tcBorders/>
            <w:vAlign w:val="center"/>
          </w:tcPr>
          <w:p>
            <w:pPr>
              <w:pStyle w:val="TableContents"/>
              <w:bidi w:val="0"/>
              <w:spacing w:before="0" w:after="283"/>
              <w:jc w:val="left"/>
              <w:rPr>
                <w:b/>
                <w:sz w:val="20"/>
              </w:rPr>
            </w:pPr>
            <w:r>
              <w:rPr>
                <w:b/>
                <w:sz w:val="20"/>
              </w:rPr>
              <w:t>VIVOSIM LABS, INC.</w:t>
            </w:r>
          </w:p>
        </w:tc>
        <w:tc>
          <w:tcPr>
            <w:tcW w:w="3785" w:type="dxa"/>
            <w:tcBorders/>
            <w:vAlign w:val="center"/>
          </w:tcPr>
          <w:p>
            <w:pPr>
              <w:pStyle w:val="TableContents"/>
              <w:bidi w:val="0"/>
              <w:spacing w:before="0" w:after="283"/>
              <w:jc w:val="left"/>
              <w:rPr/>
            </w:pPr>
            <w:r>
              <w:rPr>
                <w:u w:val="single"/>
              </w:rPr>
              <w:t>Address for Notice</w:t>
            </w:r>
            <w:r>
              <w:rPr/>
              <w:t>:</w:t>
            </w:r>
          </w:p>
        </w:tc>
      </w:tr>
      <w:tr>
        <w:trPr/>
        <w:tc>
          <w:tcPr>
            <w:tcW w:w="192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11555 Sorrento Valley Road, Suite 100</w:t>
            </w:r>
          </w:p>
        </w:tc>
      </w:tr>
      <w:tr>
        <w:trPr/>
        <w:tc>
          <w:tcPr>
            <w:tcW w:w="192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San Diego, California 92121</w:t>
            </w:r>
          </w:p>
        </w:tc>
      </w:tr>
      <w:tr>
        <w:trPr/>
        <w:tc>
          <w:tcPr>
            <w:tcW w:w="192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sz w:val="20"/>
              </w:rPr>
            </w:pPr>
            <w:r>
              <w:rPr>
                <w:sz w:val="20"/>
              </w:rPr>
              <w:t>Email: [ *** ]</w:t>
            </w:r>
          </w:p>
        </w:tc>
      </w:tr>
    </w:tbl>
    <w:p>
      <w:pPr>
        <w:pStyle w:val="TextBody"/>
        <w:bidi w:val="0"/>
        <w:spacing w:before="0" w:after="0"/>
        <w:ind w:left="0" w:right="0" w:hanging="0"/>
        <w:jc w:val="left"/>
        <w:rPr>
          <w:caps w:val="false"/>
          <w:smallCaps w:val="false"/>
        </w:rPr>
      </w:pPr>
      <w:r>
        <w:rPr>
          <w:caps w:val="false"/>
          <w:smallCaps w:val="false"/>
        </w:rPr>
        <w:t> </w:t>
      </w:r>
    </w:p>
    <w:tbl>
      <w:tblPr>
        <w:tblW w:w="2685" w:type="dxa"/>
        <w:jc w:val="left"/>
        <w:tblInd w:w="0" w:type="dxa"/>
        <w:tblLayout w:type="fixed"/>
        <w:tblCellMar>
          <w:top w:w="0" w:type="dxa"/>
          <w:left w:w="0" w:type="dxa"/>
          <w:bottom w:w="0" w:type="dxa"/>
          <w:right w:w="0" w:type="dxa"/>
        </w:tblCellMar>
      </w:tblPr>
      <w:tblGrid>
        <w:gridCol w:w="335"/>
        <w:gridCol w:w="590"/>
        <w:gridCol w:w="1685"/>
        <w:gridCol w:w="75"/>
      </w:tblGrid>
      <w:tr>
        <w:trPr/>
        <w:tc>
          <w:tcPr>
            <w:tcW w:w="335" w:type="dxa"/>
            <w:tcBorders/>
            <w:vAlign w:val="center"/>
          </w:tcPr>
          <w:p>
            <w:pPr>
              <w:pStyle w:val="TableContents"/>
              <w:bidi w:val="0"/>
              <w:spacing w:before="0" w:after="283"/>
              <w:jc w:val="left"/>
              <w:rPr>
                <w:sz w:val="20"/>
              </w:rPr>
            </w:pPr>
            <w:r>
              <w:rPr>
                <w:sz w:val="20"/>
              </w:rPr>
              <w:t>By:</w:t>
            </w:r>
          </w:p>
        </w:tc>
        <w:tc>
          <w:tcPr>
            <w:tcW w:w="2275"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685" w:type="dxa"/>
            <w:tcBorders/>
            <w:vAlign w:val="center"/>
          </w:tcPr>
          <w:p>
            <w:pPr>
              <w:pStyle w:val="TableContents"/>
              <w:bidi w:val="0"/>
              <w:spacing w:before="0" w:after="283"/>
              <w:jc w:val="left"/>
              <w:rPr>
                <w:sz w:val="20"/>
              </w:rPr>
            </w:pPr>
            <w:r>
              <w:rPr>
                <w:sz w:val="20"/>
              </w:rPr>
              <w:t>Keith Murphy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1685" w:type="dxa"/>
            <w:tcBorders/>
            <w:vAlign w:val="center"/>
          </w:tcPr>
          <w:p>
            <w:pPr>
              <w:pStyle w:val="TableContents"/>
              <w:bidi w:val="0"/>
              <w:spacing w:before="0" w:after="283"/>
              <w:jc w:val="left"/>
              <w:rPr>
                <w:sz w:val="20"/>
              </w:rPr>
            </w:pPr>
            <w:r>
              <w:rPr>
                <w:sz w:val="20"/>
              </w:rPr>
              <w:t>Executive Chairman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Hastings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 California Ave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 CA 94304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Jeff Hartlin; Samantha Eldredge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br/>
        <w:t>SIGNATURE PAGE FOR PURCHASER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PAGES TO VIVOSIM LABS,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Purchaser (if not same as address for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Closing:</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Closing Shares of Common Stock issuable: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Closing Pre-Funded Warrants issuable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attached Securities Purchase Agreement, dated as of the date hereto, the purchasers shall purchase [ ] Shares from VivoSim Labs,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at a price per share of </w:t>
      </w:r>
      <w:r>
        <w:rPr>
          <w:rFonts w:ascii="Times New Roman;Times;Serif" w:hAnsi="Times New Roman;Times;Serif"/>
          <w:b/>
          <w:i w:val="false"/>
          <w:caps w:val="false"/>
          <w:smallCaps w:val="false"/>
          <w:sz w:val="20"/>
        </w:rPr>
        <w:t>$[____]</w:t>
      </w:r>
      <w:r>
        <w:rPr>
          <w:rFonts w:ascii="Times New Roman;Times;Serif" w:hAnsi="Times New Roman;Times;Serif"/>
          <w:b w:val="false"/>
          <w:i w:val="false"/>
          <w:caps w:val="false"/>
          <w:smallCaps w:val="false"/>
          <w:sz w:val="20"/>
        </w:rPr>
        <w:t>. All funds will be wired into an account maintained by the Company. All funds will be disbursed in accordance with this Closing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Disbursement Date:</w:t>
      </w:r>
      <w:r>
        <w:rPr>
          <w:rFonts w:ascii="Times New Roman;Times;Serif" w:hAnsi="Times New Roman;Times;Serif"/>
          <w:b w:val="false"/>
          <w:i w:val="false"/>
          <w:caps w:val="false"/>
          <w:smallCaps w:val="false"/>
          <w:sz w:val="20"/>
        </w:rPr>
        <w:t xml:space="preserve"> [____],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i w:val="false"/>
          <w:caps w:val="false"/>
          <w:smallCaps w:val="false"/>
          <w:sz w:val="20"/>
          <w:u w:val="single"/>
        </w:rPr>
        <w:t>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Proceeds to be Received $[___]</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WIRE INSTRUCTIONS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see attached.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 to this [___] day of [____], 2026</w:t>
      </w:r>
    </w:p>
    <w:p>
      <w:pPr>
        <w:pStyle w:val="TextBody"/>
        <w:bidi w:val="0"/>
        <w:spacing w:before="0" w:after="0"/>
        <w:ind w:left="0" w:right="0" w:hanging="0"/>
        <w:jc w:val="both"/>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pPr>
            <w:r>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ea028377701ex23-1.htm"/>
      <w:bookmarkStart w:id="33" w:name="ksea028377701ex231"/>
      <w:bookmarkEnd w:id="32"/>
      <w:bookmarkEnd w:id="33"/>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S-1 of our report dated June 5, 2025 (which report includes an explanatory paragraph relating to the existence of substantial doubt about the Company’s ability to continue as a going concern), with respect to the consolidated financial statements of Organovo Holdings, Inc. as of March 31, 2025 and for the year then ended, included in the Company’s Annual Report on Form 10-K for the year ended March 31, 2025 and to the reference to our Firm under the caption “Experts”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Rosenberg Rich Baker Berman, 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Somerset, New Jersey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34" w:name="ea028377701ex-fee.htm"/>
      <w:bookmarkStart w:id="35" w:name="ksea028377701exfee"/>
      <w:bookmarkEnd w:id="34"/>
      <w:bookmarkEnd w:id="35"/>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VIVOSIM LABS,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450" w:type="dxa"/>
        <w:jc w:val="left"/>
        <w:tblInd w:w="0" w:type="dxa"/>
        <w:tblLayout w:type="fixed"/>
        <w:tblCellMar>
          <w:top w:w="0" w:type="dxa"/>
          <w:left w:w="0" w:type="dxa"/>
          <w:bottom w:w="0" w:type="dxa"/>
          <w:right w:w="0" w:type="dxa"/>
        </w:tblCellMar>
      </w:tblPr>
      <w:tblGrid>
        <w:gridCol w:w="530"/>
        <w:gridCol w:w="60"/>
        <w:gridCol w:w="800"/>
        <w:gridCol w:w="60"/>
        <w:gridCol w:w="1130"/>
        <w:gridCol w:w="60"/>
        <w:gridCol w:w="575"/>
        <w:gridCol w:w="60"/>
        <w:gridCol w:w="1100"/>
        <w:gridCol w:w="60"/>
        <w:gridCol w:w="1025"/>
        <w:gridCol w:w="60"/>
        <w:gridCol w:w="696"/>
        <w:gridCol w:w="299"/>
        <w:gridCol w:w="60"/>
        <w:gridCol w:w="140"/>
        <w:gridCol w:w="1400"/>
        <w:gridCol w:w="60"/>
        <w:gridCol w:w="104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45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Common Stock, $0.001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4,000,000.00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552.40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Pre-Funded Warrants to purchase shares of Common Stock</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Common Stock issuable upon exercise of Pre-Funded 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Common Warrants to purchase shares of Common Stock</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Common Stock issuable upon exercise of the Common 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15,000,000.00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2,071.50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Placement Agent Warrants to purchase shares of Common Stock</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Common Stock issuable upon exercise of the Placement Agent 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250,000.00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34.53</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1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19,250,000.00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2,658.43</w:t>
            </w:r>
          </w:p>
        </w:tc>
      </w:tr>
      <w:tr>
        <w:trPr/>
        <w:tc>
          <w:tcPr>
            <w:tcW w:w="651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651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51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2,658.43</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4"/>
        <w:gridCol w:w="23"/>
        <w:gridCol w:w="9938"/>
      </w:tblGrid>
      <w:tr>
        <w:trPr/>
        <w:tc>
          <w:tcPr>
            <w:tcW w:w="24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both"/>
              <w:rPr/>
            </w:pPr>
            <w:r>
              <w:rPr/>
              <w:t>Estimated solely for the purpose of calculating the registration fee pursuant to Rule 457(o) of the Securities Act of 1933, as amended (the “Securities Act”), based on an estimate of the proposed maximum aggregate offering price. Pursuant to Rule 416 under the Securities Act, the securities being registered hereunder include such indeterminate number of additional common stock as may be issued after the date hereof as a result of share sub-divisions, share capitalization or similar transactions.</w:t>
            </w:r>
          </w:p>
        </w:tc>
      </w:tr>
    </w:tbl>
    <w:tbl>
      <w:tblPr>
        <w:tblW w:w="10205" w:type="dxa"/>
        <w:jc w:val="left"/>
        <w:tblInd w:w="0" w:type="dxa"/>
        <w:tblLayout w:type="fixed"/>
        <w:tblCellMar>
          <w:top w:w="0" w:type="dxa"/>
          <w:left w:w="0" w:type="dxa"/>
          <w:bottom w:w="0" w:type="dxa"/>
          <w:right w:w="0" w:type="dxa"/>
        </w:tblCellMar>
      </w:tblPr>
      <w:tblGrid>
        <w:gridCol w:w="269"/>
        <w:gridCol w:w="23"/>
        <w:gridCol w:w="9913"/>
      </w:tblGrid>
      <w:tr>
        <w:trPr/>
        <w:tc>
          <w:tcPr>
            <w:tcW w:w="269"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13" w:type="dxa"/>
            <w:tcBorders/>
            <w:vAlign w:val="center"/>
          </w:tcPr>
          <w:p>
            <w:pPr>
              <w:pStyle w:val="TableContents"/>
              <w:bidi w:val="0"/>
              <w:spacing w:before="0" w:after="283"/>
              <w:jc w:val="both"/>
              <w:rPr/>
            </w:pPr>
            <w:r>
              <w:rPr/>
              <w:t>In accordance with Rule 457(g), the entire registration fee for the warrants is allocated to the shares of common stock underlying the warrants, and no separate fee is payable for the warrants.</w:t>
            </w:r>
          </w:p>
        </w:tc>
      </w:tr>
    </w:tbl>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The proposed maximum aggregate offering price of the common stock will be reduced on a dollar-for-dollar basis based on the offering price of any Pre-Funded Warrants issued in the offering, and the proposed maximum aggregate offering price of the Pre-Funded Warrants to be issued in the offering will be reduced on a dollar-for-dollar basis based on the offering price of any common stock issued in the offering. Accordingly, the proposed maximum aggregate offering price of the common stock and Pre-Funded Warrants (including the common stock issuable upon exercise of the Pre-Funded Warrants), if any, is $4,000,000.</w:t>
            </w:r>
          </w:p>
        </w:tc>
      </w:tr>
    </w:tbl>
    <w:tbl>
      <w:tblPr>
        <w:tblW w:w="10205" w:type="dxa"/>
        <w:jc w:val="left"/>
        <w:tblInd w:w="0" w:type="dxa"/>
        <w:tblLayout w:type="fixed"/>
        <w:tblCellMar>
          <w:top w:w="0" w:type="dxa"/>
          <w:left w:w="0" w:type="dxa"/>
          <w:bottom w:w="0" w:type="dxa"/>
          <w:right w:w="0" w:type="dxa"/>
        </w:tblCellMar>
      </w:tblPr>
      <w:tblGrid>
        <w:gridCol w:w="269"/>
        <w:gridCol w:w="23"/>
        <w:gridCol w:w="9913"/>
      </w:tblGrid>
      <w:tr>
        <w:trPr/>
        <w:tc>
          <w:tcPr>
            <w:tcW w:w="269"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13" w:type="dxa"/>
            <w:tcBorders/>
            <w:vAlign w:val="center"/>
          </w:tcPr>
          <w:p>
            <w:pPr>
              <w:pStyle w:val="TableContents"/>
              <w:bidi w:val="0"/>
              <w:spacing w:before="0" w:after="283"/>
              <w:jc w:val="both"/>
              <w:rPr/>
            </w:pPr>
            <w:r>
              <w:rPr/>
              <w:t>In accordance with Rule 457(g), the entire registration fee for the warrants is allocated to the shares of common stock underlying the warrants, and no separate fee is payable for the warrants.</w:t>
            </w:r>
          </w:p>
        </w:tc>
      </w:tr>
    </w:tbl>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Estimated solely for the purpose of calculating the registration fee pursuant to Rule 457(o) of the Securities Act based on an estimate of the proposed maximum aggregate offering price. Pursuant to Rule 416 under the Securities Act, the securities being registered hereunder include such indeterminate number of additional common stock as may be issued after the date hereof as a result of share sub-divisions, share capitalization or similar transactions.</w:t>
            </w:r>
          </w:p>
        </w:tc>
      </w:tr>
    </w:tbl>
    <w:tbl>
      <w:tblPr>
        <w:tblW w:w="10205" w:type="dxa"/>
        <w:jc w:val="left"/>
        <w:tblInd w:w="0" w:type="dxa"/>
        <w:tblLayout w:type="fixed"/>
        <w:tblCellMar>
          <w:top w:w="0" w:type="dxa"/>
          <w:left w:w="0" w:type="dxa"/>
          <w:bottom w:w="0" w:type="dxa"/>
          <w:right w:w="0" w:type="dxa"/>
        </w:tblCellMar>
      </w:tblPr>
      <w:tblGrid>
        <w:gridCol w:w="269"/>
        <w:gridCol w:w="23"/>
        <w:gridCol w:w="9913"/>
      </w:tblGrid>
      <w:tr>
        <w:trPr/>
        <w:tc>
          <w:tcPr>
            <w:tcW w:w="269"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9913" w:type="dxa"/>
            <w:tcBorders/>
            <w:vAlign w:val="center"/>
          </w:tcPr>
          <w:p>
            <w:pPr>
              <w:pStyle w:val="TableContents"/>
              <w:bidi w:val="0"/>
              <w:spacing w:before="0" w:after="283"/>
              <w:jc w:val="both"/>
              <w:rPr/>
            </w:pPr>
            <w:r>
              <w:rPr/>
              <w:t>In accordance with Rule 457(g), the entire registration fee for the warrants is allocated to the shares of common stock underlying the warrants, and no separate fee is payable for the warrants.</w:t>
            </w:r>
          </w:p>
        </w:tc>
      </w:tr>
    </w:tbl>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(7)</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Represents common stock issuable upon exercise of the Placement Agent Warrants equal to 5.0% of the aggregate number of shares of common stock and Pre-Funded Warrants being offered in this offering, at an exercise price equal to 125% of the combined public offering price per share of common stock and accompanying warrant. Estimated solely for the purpose of calculating the registration fee pursuant to Rule 457(o) of the Securities Act, the proposed maximum aggregate offering price is $250,000, which is equal to 125% of $200,000 (5.0% of the proposed maximum aggregate offering price of $4,000,000). Pursuant to Rule 416 under the Securities Act, the securities being registered hereunder include such indeterminate number of additional common stock as may be issued after the date hereof as a result of share sub-divisions, share capitalization or similar transactions.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97253/000095017025082312/vivs-20250331.htm" TargetMode="External"/><Relationship Id="rId4" Type="http://schemas.openxmlformats.org/officeDocument/2006/relationships/hyperlink" Target="https://www.sec.gov/ix?doc=/Archives/edgar/data/1497253/000095017025099620/vivs-20250331.htm" TargetMode="External"/><Relationship Id="rId5" Type="http://schemas.openxmlformats.org/officeDocument/2006/relationships/hyperlink" Target="https://www.sec.gov/ix?doc=/Archives/edgar/data/1497253/000095017025107284/vivs-20250630.htm" TargetMode="External"/><Relationship Id="rId6" Type="http://schemas.openxmlformats.org/officeDocument/2006/relationships/hyperlink" Target="https://www.sec.gov/ix?doc=/Archives/edgar/data/1497253/000119312525269483/vivs-20250930.htm" TargetMode="External"/><Relationship Id="rId7" Type="http://schemas.openxmlformats.org/officeDocument/2006/relationships/hyperlink" Target="https://www.sec.gov/ix?doc=/Archives/edgar/data/1497253/000119312526046520/vivs-20251231.htm" TargetMode="External"/><Relationship Id="rId8" Type="http://schemas.openxmlformats.org/officeDocument/2006/relationships/hyperlink" Target="https://www.sec.gov/ix?doc=/Archives/edgar/data/1497253/000095017025048888/onvo-20250402.htm" TargetMode="External"/><Relationship Id="rId9" Type="http://schemas.openxmlformats.org/officeDocument/2006/relationships/hyperlink" Target="https://www.sec.gov/ix?doc=/Archives/edgar/data/1497253/000095017025057685/vivs-20250423.htm" TargetMode="External"/><Relationship Id="rId10" Type="http://schemas.openxmlformats.org/officeDocument/2006/relationships/hyperlink" Target="https://www.sec.gov/ix?doc=/Archives/edgar/data/1497253/000095017025063979/vivs-20250430.htm" TargetMode="External"/><Relationship Id="rId11" Type="http://schemas.openxmlformats.org/officeDocument/2006/relationships/hyperlink" Target="https://www.sec.gov/ix?doc=/Archives/edgar/data/1497253/000095017025108447/vivs-20250814.htm" TargetMode="External"/><Relationship Id="rId12" Type="http://schemas.openxmlformats.org/officeDocument/2006/relationships/hyperlink" Target="https://www.sec.gov/ix?doc=/Archives/edgar/data/1497253/000119312525324794/vivs-20251216.htm" TargetMode="External"/><Relationship Id="rId13" Type="http://schemas.openxmlformats.org/officeDocument/2006/relationships/hyperlink" Target="http://www.sec.gov/Archives/edgar/data/1497253/000119312516657337/d214807d8a12b.htm" TargetMode="External"/><Relationship Id="rId14" Type="http://schemas.openxmlformats.org/officeDocument/2006/relationships/hyperlink" Target="https://www.sec.gov/Archives/edgar/data/1497253/000095017025082312/vivs-ex4_2.htm" TargetMode="External"/><Relationship Id="rId15" Type="http://schemas.openxmlformats.org/officeDocument/2006/relationships/hyperlink" Target="https://www.sec.gov/ix?doc=/Archives/edgar/data/1497253/000095017025082312/vivs-20250331.htm" TargetMode="External"/><Relationship Id="rId16" Type="http://schemas.openxmlformats.org/officeDocument/2006/relationships/hyperlink" Target="https://www.sec.gov/ix?doc=/Archives/edgar/data/1497253/000095017025099620/vivs-20250331.htm" TargetMode="External"/><Relationship Id="rId17" Type="http://schemas.openxmlformats.org/officeDocument/2006/relationships/image" Target="media/image2.jpeg"/><Relationship Id="rId18" Type="http://schemas.openxmlformats.org/officeDocument/2006/relationships/hyperlink" Target="https://www.sec.gov/Archives/edgar/data/1497253/000095017025026097/onvo-ex2_1.htm" TargetMode="External"/><Relationship Id="rId19" Type="http://schemas.openxmlformats.org/officeDocument/2006/relationships/hyperlink" Target="https://www.sec.gov/Archives/edgar/data/1497253/000121390012000432/f8k013012ex3i_organovo.htm" TargetMode="External"/><Relationship Id="rId20" Type="http://schemas.openxmlformats.org/officeDocument/2006/relationships/hyperlink" Target="https://www.sec.gov/Archives/edgar/data/1497253/000156459018017696/onvo-ex31_7.htm" TargetMode="External"/><Relationship Id="rId21" Type="http://schemas.openxmlformats.org/officeDocument/2006/relationships/hyperlink" Target="https://www.sec.gov/Archives/edgar/data/1497253/000156459020040374/onvo-ex31_7.htm" TargetMode="External"/><Relationship Id="rId22" Type="http://schemas.openxmlformats.org/officeDocument/2006/relationships/hyperlink" Target="https://www.sec.gov/Archives/edgar/data/1497253/000095017025042903/onvo-ex99_1.htm" TargetMode="External"/><Relationship Id="rId23" Type="http://schemas.openxmlformats.org/officeDocument/2006/relationships/hyperlink" Target="https://www.sec.gov/Archives/edgar/data/1497253/000095017025057685/vivs-ex3_1.htm" TargetMode="External"/><Relationship Id="rId24" Type="http://schemas.openxmlformats.org/officeDocument/2006/relationships/hyperlink" Target="https://www.sec.gov/Archives/edgar/data/1497253/000095017025057685/vivs-ex3_2.htm" TargetMode="External"/><Relationship Id="rId25" Type="http://schemas.openxmlformats.org/officeDocument/2006/relationships/hyperlink" Target="https://www.sec.gov/Archives/edgar/data/1497253/000095017025082312/vivs-ex4_2.htm" TargetMode="External"/><Relationship Id="rId26" Type="http://schemas.openxmlformats.org/officeDocument/2006/relationships/hyperlink" Target="https://www.sec.gov/Archives/edgar/data/1497253/000095017024058805/onvo-ex4_1.htm" TargetMode="External"/><Relationship Id="rId27" Type="http://schemas.openxmlformats.org/officeDocument/2006/relationships/hyperlink" Target="https://www.sec.gov/Archives/edgar/data/1497253/000095017025082312/vivs-ex10_1.htm" TargetMode="External"/><Relationship Id="rId28" Type="http://schemas.openxmlformats.org/officeDocument/2006/relationships/hyperlink" Target="https://www.sec.gov/Archives/edgar/data/1497253/000121390012000621/f8k0212ex10xvii_organovo.htm" TargetMode="External"/><Relationship Id="rId29" Type="http://schemas.openxmlformats.org/officeDocument/2006/relationships/hyperlink" Target="https://www.sec.gov/Archives/edgar/data/1497253/000156459015004951/onvo-ex1035_20150331230.htm" TargetMode="External"/><Relationship Id="rId30" Type="http://schemas.openxmlformats.org/officeDocument/2006/relationships/hyperlink" Target="https://www.sec.gov/Archives/edgar/data/1497253/000156459015004951/onvo-ex1036_20150331231.htm" TargetMode="External"/><Relationship Id="rId31" Type="http://schemas.openxmlformats.org/officeDocument/2006/relationships/hyperlink" Target="https://www.sec.gov/Archives/edgar/data/1497253/000121390012000621/f8k0212ex10xviii_organovo.htm" TargetMode="External"/><Relationship Id="rId32" Type="http://schemas.openxmlformats.org/officeDocument/2006/relationships/hyperlink" Target="https://www.sec.gov/Archives/edgar/data/1497253/000095017025082312/vivs-ex10_6.htm" TargetMode="External"/><Relationship Id="rId33" Type="http://schemas.openxmlformats.org/officeDocument/2006/relationships/hyperlink" Target="https://www.sec.gov/Archives/edgar/data/1497253/000095017025082312/vivs-ex10_7.htm" TargetMode="External"/><Relationship Id="rId34" Type="http://schemas.openxmlformats.org/officeDocument/2006/relationships/hyperlink" Target="https://www.sec.gov/Archives/edgar/data/1497253/000156459015010138/onvo-ex102_790.htm" TargetMode="External"/><Relationship Id="rId35" Type="http://schemas.openxmlformats.org/officeDocument/2006/relationships/hyperlink" Target="https://www.sec.gov/Archives/edgar/data/1497253/000156459020026401/onvo-ex101_7.htm" TargetMode="External"/><Relationship Id="rId36" Type="http://schemas.openxmlformats.org/officeDocument/2006/relationships/hyperlink" Target="https://www.sec.gov/Archives/edgar/data/1497253/000156459015010138/onvo-ex103_533.htm" TargetMode="External"/><Relationship Id="rId37" Type="http://schemas.openxmlformats.org/officeDocument/2006/relationships/hyperlink" Target="https://www.sec.gov/Archives/edgar/data/1497253/000156459016022692/onvo-ex101_237.htm" TargetMode="External"/><Relationship Id="rId38" Type="http://schemas.openxmlformats.org/officeDocument/2006/relationships/hyperlink" Target="https://www.sec.gov/Archives/edgar/data/1497253/000156459016022692/onvo-ex103_238.htm" TargetMode="External"/><Relationship Id="rId39" Type="http://schemas.openxmlformats.org/officeDocument/2006/relationships/hyperlink" Target="https://www.sec.gov/Archives/edgar/data/1497253/000156459016022692/onvo-ex104_235.htm" TargetMode="External"/><Relationship Id="rId40" Type="http://schemas.openxmlformats.org/officeDocument/2006/relationships/hyperlink" Target="https://www.sec.gov/Archives/edgar/data/1497253/000156459020051311/onvo-ex101_48.htm" TargetMode="External"/><Relationship Id="rId41" Type="http://schemas.openxmlformats.org/officeDocument/2006/relationships/hyperlink" Target="https://www.sec.gov/Archives/edgar/data/1497253/000156459020051311/onvo-ex102_49.htm" TargetMode="External"/><Relationship Id="rId42" Type="http://schemas.openxmlformats.org/officeDocument/2006/relationships/hyperlink" Target="https://www.sec.gov/Archives/edgar/data/1497253/000156459021050320/onvo-ex103_18.htm" TargetMode="External"/><Relationship Id="rId43" Type="http://schemas.openxmlformats.org/officeDocument/2006/relationships/hyperlink" Target="https://www.sec.gov/Archives/edgar/data/1497253/000095017024141323/onvo-ex10_2.htm" TargetMode="External"/><Relationship Id="rId44" Type="http://schemas.openxmlformats.org/officeDocument/2006/relationships/hyperlink" Target="https://www.sec.gov/Archives/edgar/data/1497253/000156459020055281/onvo-ex102_20.htm" TargetMode="External"/><Relationship Id="rId45" Type="http://schemas.openxmlformats.org/officeDocument/2006/relationships/hyperlink" Target="https://www.sec.gov/Archives/edgar/data/1497253/000156459021057764/onvo-ex101_6.htm" TargetMode="External"/><Relationship Id="rId46" Type="http://schemas.openxmlformats.org/officeDocument/2006/relationships/hyperlink" Target="https://www.sec.gov/Archives/edgar/data/1497253/000156459020058969/onvo-ex101_6.htm" TargetMode="External"/><Relationship Id="rId47" Type="http://schemas.openxmlformats.org/officeDocument/2006/relationships/hyperlink" Target="https://www.sec.gov/Archives/edgar/data/1497253/000119312518086037/d525808dex101.htm" TargetMode="External"/><Relationship Id="rId48" Type="http://schemas.openxmlformats.org/officeDocument/2006/relationships/hyperlink" Target="https://www.sec.gov/Archives/edgar/data/1497253/000095017025082312/vivs-ex10_22.htm" TargetMode="External"/><Relationship Id="rId49" Type="http://schemas.openxmlformats.org/officeDocument/2006/relationships/hyperlink" Target="https://www.sec.gov/Archives/edgar/data/1497253/000095017025082312/vivs-ex10_23.htm" TargetMode="External"/><Relationship Id="rId50" Type="http://schemas.openxmlformats.org/officeDocument/2006/relationships/hyperlink" Target="https://www.sec.gov/Archives/edgar/data/1497253/000095017025082312/vivs-ex10_24.htm" TargetMode="External"/><Relationship Id="rId51" Type="http://schemas.openxmlformats.org/officeDocument/2006/relationships/hyperlink" Target="https://www.sec.gov/Archives/edgar/data/1497253/000156459022022994/onvo-ex1034_351.htm" TargetMode="External"/><Relationship Id="rId52" Type="http://schemas.openxmlformats.org/officeDocument/2006/relationships/hyperlink" Target="https://www.sec.gov/Archives/edgar/data/1497253/000095017025082312/vivs-ex10_26.htm" TargetMode="External"/><Relationship Id="rId53" Type="http://schemas.openxmlformats.org/officeDocument/2006/relationships/hyperlink" Target="https://www.sec.gov/Archives/edgar/data/1497253/000095017025082312/vivs-ex10_27.htm" TargetMode="External"/><Relationship Id="rId54" Type="http://schemas.openxmlformats.org/officeDocument/2006/relationships/hyperlink" Target="https://www.sec.gov/Archives/edgar/data/1497253/000095017025082312/vivs-ex10_28.htm" TargetMode="External"/><Relationship Id="rId55" Type="http://schemas.openxmlformats.org/officeDocument/2006/relationships/hyperlink" Target="https://www.sec.gov/Archives/edgar/data/1497253/000095017025082312/vivs-ex10_29.htm" TargetMode="External"/><Relationship Id="rId56" Type="http://schemas.openxmlformats.org/officeDocument/2006/relationships/hyperlink" Target="https://www.sec.gov/Archives/edgar/data/1497253/000095017025082312/vivs-ex21_1.htm" TargetMode="External"/><Relationship Id="rId57" Type="http://schemas.openxmlformats.org/officeDocument/2006/relationships/image" Target="media/image3.jpeg"/><Relationship Id="rId58" Type="http://schemas.openxmlformats.org/officeDocument/2006/relationships/image" Target="media/image4.jpeg"/><Relationship Id="rId59" Type="http://schemas.openxmlformats.org/officeDocument/2006/relationships/image" Target="media/image3.jpeg"/><Relationship Id="rId60" Type="http://schemas.openxmlformats.org/officeDocument/2006/relationships/image" Target="media/image3.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98171</Words>
  <Characters>512816</Characters>
  <CharactersWithSpaces>611666</CharactersWithSpaces>
  <Paragraphs>4184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