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vivs-20260930.htm"/>
      <w:bookmarkStart w:id="1" w:name="ksvivs20260930"/>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30,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VivoSim Labs,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6"/>
        <w:gridCol w:w="869"/>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001-35996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27-1488943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11555 Sorrento Valley 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224-1000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VIVS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jc w:val="both"/>
        <w:rPr>
          <w:rFonts w:ascii="Times New Roman" w:hAnsi="Times New Roman"/>
          <w:color w:val="000000"/>
          <w:sz w:val="20"/>
        </w:rPr>
      </w:pPr>
      <w:r>
        <w:rPr>
          <w:rFonts w:ascii="Times New Roman" w:hAnsi="Times New Roman"/>
          <w:color w:val="000000"/>
          <w:sz w:val="20"/>
        </w:rPr>
        <w:br/>
        <w:t xml:space="preserve">On September 30, 2026, VivoSim Labs, Inc. (the “Company”) held its 2026 Annual Meeting of Stockholders (the “Annual Meeting”). At the Annual Meeting, the Company’s stockholders approved the amendment and restatement of the VivoSim Labs, Inc. Amended and Restated 2022 Equity Incentive Plan (the “Amended and Restated Plan”) to increase the number of shares reserved for issuance thereunder by 3,165,000 shares. The Amended and Restated Plan was previously approved by the Board of Directors of the Company (the “Board”), subject to stockholder approval.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Amended and Restated Plan became effective immediately upon stockholder approval at the Annual Meeting. A more complete summary of the terms of the Amended and Restated Plan is set forth in “Proposal 5: Approval of Amendment and Restatement of VivoSim Labs, Inc. Amended and Restated 2022 Equity Incentive Plan” in the Company’s definitive proxy statement filed with the Securities and Exchange Commission on August 21, 2026 (the “Proxy Statement”), which description and text are incorporated herein by reference.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foregoing description of the terms of the Amended and Restated Plan and the description thereof incorporated by reference from the Proxy Statement do not purport to be complete and are qualified in their entirety by reference to the full text of the Amended and Restated Plan, a copy of which is filed as Exhibit 10.1 hereto and is incorporated herein by reference.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On September 30, 2026, Company held the Annual Meeting. Of the 16,586,495 shares of the Company’s common stock, par value $0.001 per share (the “Common Stock”), issued and outstanding as of the August 13, 2026 record date, 6,180,635 shares, or 37.26%, constituting a quorum, were represented at the Annual Meeting either virtually or by proxy.</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A description of each proposal voted upon at the Annual Meeting is included in the Proxy Statement. Set forth below is a brief description of each proposal voted upon at the Annual Meeting and the voting results with respect to each proposal.</w:t>
      </w:r>
    </w:p>
    <w:p>
      <w:pPr>
        <w:pStyle w:val="TextBody"/>
        <w:bidi w:val="0"/>
        <w:spacing w:before="264" w:after="283"/>
        <w:jc w:val="both"/>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Election of Directors</w:t>
      </w:r>
      <w:r>
        <w:rPr>
          <w:rFonts w:ascii="Times New Roman" w:hAnsi="Times New Roman"/>
          <w:color w:val="000000"/>
          <w:sz w:val="20"/>
        </w:rPr>
        <w:t>. The Company’s stockholders elected Keith Murphy and Adam Stern as Class III directors, each to hold office until the 2029 Annual Meeting of Stockholders and until his respective successor is elected and qualified. The following table shows the tabulation of the votes cast “For” and “Withheld” for each of Mr. Murphy and Mr. Stern as well as the “Broker Non-Votes” submitted for this proposal:</w:t>
      </w:r>
    </w:p>
    <w:tbl>
      <w:tblPr>
        <w:tblW w:w="5564" w:type="dxa"/>
        <w:jc w:val="left"/>
        <w:tblInd w:w="0" w:type="dxa"/>
        <w:tblLayout w:type="fixed"/>
        <w:tblCellMar>
          <w:top w:w="28" w:type="dxa"/>
          <w:left w:w="28" w:type="dxa"/>
          <w:bottom w:w="28" w:type="dxa"/>
          <w:right w:w="28" w:type="dxa"/>
        </w:tblCellMar>
      </w:tblPr>
      <w:tblGrid>
        <w:gridCol w:w="1452"/>
        <w:gridCol w:w="146"/>
        <w:gridCol w:w="931"/>
        <w:gridCol w:w="146"/>
        <w:gridCol w:w="886"/>
        <w:gridCol w:w="146"/>
        <w:gridCol w:w="1857"/>
      </w:tblGrid>
      <w:tr>
        <w:trPr/>
        <w:tc>
          <w:tcPr>
            <w:tcW w:w="14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r>
      <w:tr>
        <w:trPr/>
        <w:tc>
          <w:tcPr>
            <w:tcW w:w="1452"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Withheld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tcBorders/>
            <w:tcMar>
              <w:top w:w="0" w:type="dxa"/>
              <w:left w:w="0" w:type="dxa"/>
              <w:bottom w:w="0" w:type="dxa"/>
              <w:right w:w="0" w:type="dxa"/>
            </w:tcMar>
            <w:vAlign w:val="center"/>
          </w:tcPr>
          <w:p>
            <w:pPr>
              <w:pStyle w:val="TableContents"/>
              <w:pBdr>
                <w:bottom w:val="single" w:sz="8" w:space="1" w:color="000000"/>
              </w:pBdr>
              <w:bidi w:val="0"/>
              <w:spacing w:before="0" w:after="283"/>
              <w:ind w:left="0" w:right="0" w:firstLine="176"/>
              <w:jc w:val="center"/>
              <w:rPr>
                <w:rFonts w:ascii="Times New Roman" w:hAnsi="Times New Roman"/>
                <w:b/>
                <w:color w:val="000000"/>
                <w:sz w:val="20"/>
              </w:rPr>
            </w:pPr>
            <w:r>
              <w:rPr>
                <w:rFonts w:ascii="Times New Roman" w:hAnsi="Times New Roman"/>
                <w:b/>
                <w:color w:val="000000"/>
                <w:sz w:val="20"/>
              </w:rPr>
              <w:t>Broker Non-Votes</w:t>
            </w:r>
          </w:p>
        </w:tc>
      </w:tr>
      <w:tr>
        <w:trPr/>
        <w:tc>
          <w:tcPr>
            <w:tcW w:w="1452" w:type="dxa"/>
            <w:tcBorders/>
            <w:shd w:fill="CCEEFF" w:val="clear"/>
            <w:tcMar>
              <w:top w:w="0" w:type="dxa"/>
              <w:left w:w="0" w:type="dxa"/>
              <w:bottom w:w="0" w:type="dxa"/>
              <w:right w:w="0" w:type="dxa"/>
            </w:tcMar>
            <w:vAlign w:val="center"/>
          </w:tcPr>
          <w:p>
            <w:pPr>
              <w:pStyle w:val="TableContents"/>
              <w:bidi w:val="0"/>
              <w:spacing w:before="0" w:after="283"/>
              <w:ind w:left="0" w:right="0" w:firstLine="176"/>
              <w:jc w:val="center"/>
              <w:rPr>
                <w:rFonts w:ascii="Times New Roman" w:hAnsi="Times New Roman"/>
                <w:color w:val="000000"/>
                <w:sz w:val="20"/>
              </w:rPr>
            </w:pPr>
            <w:r>
              <w:rPr>
                <w:rFonts w:ascii="Times New Roman" w:hAnsi="Times New Roman"/>
                <w:color w:val="000000"/>
                <w:sz w:val="20"/>
              </w:rPr>
              <w:t>Keith Murphy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2,070,729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378,272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57"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3,731,634</w:t>
            </w:r>
          </w:p>
        </w:tc>
      </w:tr>
    </w:tbl>
    <w:p>
      <w:pPr>
        <w:pStyle w:val="TextBody"/>
        <w:bidi w:val="0"/>
        <w:spacing w:before="264" w:after="283"/>
        <w:jc w:val="left"/>
        <w:rPr/>
      </w:pPr>
      <w:r>
        <w:rPr/>
        <w:t> </w:t>
      </w:r>
    </w:p>
    <w:tbl>
      <w:tblPr>
        <w:tblW w:w="5354" w:type="dxa"/>
        <w:jc w:val="left"/>
        <w:tblInd w:w="0" w:type="dxa"/>
        <w:tblLayout w:type="fixed"/>
        <w:tblCellMar>
          <w:top w:w="28" w:type="dxa"/>
          <w:left w:w="28" w:type="dxa"/>
          <w:bottom w:w="28" w:type="dxa"/>
          <w:right w:w="28" w:type="dxa"/>
        </w:tblCellMar>
      </w:tblPr>
      <w:tblGrid>
        <w:gridCol w:w="1242"/>
        <w:gridCol w:w="146"/>
        <w:gridCol w:w="931"/>
        <w:gridCol w:w="146"/>
        <w:gridCol w:w="886"/>
        <w:gridCol w:w="146"/>
        <w:gridCol w:w="1857"/>
      </w:tblGrid>
      <w:tr>
        <w:trPr/>
        <w:tc>
          <w:tcPr>
            <w:tcW w:w="1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r>
      <w:tr>
        <w:trPr/>
        <w:tc>
          <w:tcPr>
            <w:tcW w:w="1242"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Withheld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tcBorders/>
            <w:tcMar>
              <w:top w:w="0" w:type="dxa"/>
              <w:left w:w="0" w:type="dxa"/>
              <w:bottom w:w="0" w:type="dxa"/>
              <w:right w:w="0" w:type="dxa"/>
            </w:tcMar>
            <w:vAlign w:val="center"/>
          </w:tcPr>
          <w:p>
            <w:pPr>
              <w:pStyle w:val="TableContents"/>
              <w:pBdr>
                <w:bottom w:val="single" w:sz="8" w:space="1" w:color="000000"/>
              </w:pBdr>
              <w:bidi w:val="0"/>
              <w:spacing w:before="0" w:after="283"/>
              <w:ind w:left="0" w:right="0" w:firstLine="176"/>
              <w:jc w:val="center"/>
              <w:rPr>
                <w:rFonts w:ascii="Times New Roman" w:hAnsi="Times New Roman"/>
                <w:b/>
                <w:color w:val="000000"/>
                <w:sz w:val="20"/>
              </w:rPr>
            </w:pPr>
            <w:r>
              <w:rPr>
                <w:rFonts w:ascii="Times New Roman" w:hAnsi="Times New Roman"/>
                <w:b/>
                <w:color w:val="000000"/>
                <w:sz w:val="20"/>
              </w:rPr>
              <w:t>Broker Non-Votes</w:t>
            </w:r>
          </w:p>
        </w:tc>
      </w:tr>
      <w:tr>
        <w:trPr/>
        <w:tc>
          <w:tcPr>
            <w:tcW w:w="1242" w:type="dxa"/>
            <w:tcBorders/>
            <w:shd w:fill="CCEEFF" w:val="clear"/>
            <w:tcMar>
              <w:top w:w="0" w:type="dxa"/>
              <w:left w:w="0" w:type="dxa"/>
              <w:bottom w:w="0" w:type="dxa"/>
              <w:right w:w="0" w:type="dxa"/>
            </w:tcMar>
            <w:vAlign w:val="center"/>
          </w:tcPr>
          <w:p>
            <w:pPr>
              <w:pStyle w:val="TableContents"/>
              <w:bidi w:val="0"/>
              <w:spacing w:before="0" w:after="283"/>
              <w:ind w:left="0" w:right="0" w:firstLine="176"/>
              <w:jc w:val="center"/>
              <w:rPr>
                <w:rFonts w:ascii="Times New Roman" w:hAnsi="Times New Roman"/>
                <w:color w:val="000000"/>
                <w:sz w:val="20"/>
              </w:rPr>
            </w:pPr>
            <w:r>
              <w:rPr>
                <w:rFonts w:ascii="Times New Roman" w:hAnsi="Times New Roman"/>
                <w:color w:val="000000"/>
                <w:sz w:val="20"/>
              </w:rPr>
              <w:t>Adam Stern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2,069,436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379,565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57"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3,731,634</w:t>
            </w:r>
          </w:p>
        </w:tc>
      </w:tr>
    </w:tbl>
    <w:p>
      <w:pPr>
        <w:pStyle w:val="TextBody"/>
        <w:bidi w:val="0"/>
        <w:spacing w:before="264" w:after="283"/>
        <w:jc w:val="both"/>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Ratification of Auditors</w:t>
      </w:r>
      <w:r>
        <w:rPr>
          <w:rFonts w:ascii="Times New Roman" w:hAnsi="Times New Roman"/>
          <w:color w:val="000000"/>
          <w:sz w:val="20"/>
        </w:rPr>
        <w:t xml:space="preserve">. The Company’s stockholders ratified the appointment of Rosenberg Rich Baker Berman P.A. as the Company’s independent registered public accounting firm for the fiscal year ending March 31, 2027, with the approval of 92.51% of the votes cast. The following table shows the tabulation of the votes cast “For” and “Against” this proposal as well as the “Abstentions” submitted for this proposal: </w:t>
      </w:r>
    </w:p>
    <w:tbl>
      <w:tblPr>
        <w:tblW w:w="3423" w:type="dxa"/>
        <w:jc w:val="left"/>
        <w:tblInd w:w="0" w:type="dxa"/>
        <w:tblLayout w:type="fixed"/>
        <w:tblCellMar>
          <w:top w:w="28" w:type="dxa"/>
          <w:left w:w="28" w:type="dxa"/>
          <w:bottom w:w="28" w:type="dxa"/>
          <w:right w:w="28" w:type="dxa"/>
        </w:tblCellMar>
      </w:tblPr>
      <w:tblGrid>
        <w:gridCol w:w="1122"/>
        <w:gridCol w:w="109"/>
        <w:gridCol w:w="781"/>
        <w:gridCol w:w="109"/>
        <w:gridCol w:w="1302"/>
      </w:tblGrid>
      <w:tr>
        <w:trPr/>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1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tcBorders/>
            <w:tcMar>
              <w:top w:w="0" w:type="dxa"/>
              <w:left w:w="0" w:type="dxa"/>
              <w:bottom w:w="0" w:type="dxa"/>
              <w:right w:w="0" w:type="dxa"/>
            </w:tcMar>
            <w:vAlign w:val="center"/>
          </w:tcPr>
          <w:p>
            <w:pPr>
              <w:pStyle w:val="TableContents"/>
              <w:pBdr>
                <w:bottom w:val="single" w:sz="8" w:space="1" w:color="000000"/>
              </w:pBdr>
              <w:bidi w:val="0"/>
              <w:spacing w:before="0" w:after="283"/>
              <w:ind w:left="0" w:right="0" w:firstLine="176"/>
              <w:jc w:val="center"/>
              <w:rPr>
                <w:rFonts w:ascii="Times New Roman" w:hAnsi="Times New Roman"/>
                <w:b/>
                <w:color w:val="000000"/>
                <w:sz w:val="20"/>
              </w:rPr>
            </w:pPr>
            <w:r>
              <w:rPr>
                <w:rFonts w:ascii="Times New Roman" w:hAnsi="Times New Roman"/>
                <w:b/>
                <w:color w:val="000000"/>
                <w:sz w:val="20"/>
              </w:rPr>
              <w:t>Abstentions</w:t>
            </w:r>
          </w:p>
        </w:tc>
      </w:tr>
      <w:tr>
        <w:trPr/>
        <w:tc>
          <w:tcPr>
            <w:tcW w:w="1122" w:type="dxa"/>
            <w:tcBorders/>
            <w:shd w:fill="CCEEFF" w:val="clear"/>
            <w:tcMar>
              <w:top w:w="0" w:type="dxa"/>
              <w:left w:w="0" w:type="dxa"/>
              <w:bottom w:w="0" w:type="dxa"/>
              <w:right w:w="0" w:type="dxa"/>
            </w:tcMar>
            <w:vAlign w:val="center"/>
          </w:tcPr>
          <w:p>
            <w:pPr>
              <w:pStyle w:val="TableContents"/>
              <w:bidi w:val="0"/>
              <w:spacing w:before="0" w:after="283"/>
              <w:ind w:left="0" w:right="0" w:firstLine="176"/>
              <w:jc w:val="center"/>
              <w:rPr>
                <w:rFonts w:ascii="Times New Roman" w:hAnsi="Times New Roman"/>
                <w:color w:val="000000"/>
                <w:sz w:val="20"/>
              </w:rPr>
            </w:pPr>
            <w:r>
              <w:rPr>
                <w:rFonts w:ascii="Times New Roman" w:hAnsi="Times New Roman"/>
                <w:color w:val="000000"/>
                <w:sz w:val="20"/>
              </w:rPr>
              <w:t>5,343,651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432,612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404,372</w:t>
            </w:r>
          </w:p>
        </w:tc>
      </w:tr>
    </w:tbl>
    <w:p>
      <w:pPr>
        <w:pStyle w:val="TextBody"/>
        <w:bidi w:val="0"/>
        <w:spacing w:before="264" w:after="283"/>
        <w:jc w:val="both"/>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Advisory Vote on the Compensation of Named Executive Officers</w:t>
      </w:r>
      <w:r>
        <w:rPr>
          <w:rFonts w:ascii="Times New Roman" w:hAnsi="Times New Roman"/>
          <w:color w:val="000000"/>
          <w:sz w:val="20"/>
        </w:rPr>
        <w:t xml:space="preserve">. The Company’s stockholders, on a non-binding, advisory basis, approved the compensation of the Company’s named executive officers as disclosed in the Proxy Statement, with the approval of 76.33% of the votes cast. The following table shows the tabulation of the votes cast “For” and “Against” this proposal as well as the “Abstentions” and “Broker Non-Votes” submitted for this proposal: </w:t>
      </w:r>
    </w:p>
    <w:tbl>
      <w:tblPr>
        <w:tblW w:w="5205" w:type="dxa"/>
        <w:jc w:val="left"/>
        <w:tblInd w:w="0" w:type="dxa"/>
        <w:tblLayout w:type="fixed"/>
        <w:tblCellMar>
          <w:top w:w="28" w:type="dxa"/>
          <w:left w:w="28" w:type="dxa"/>
          <w:bottom w:w="28" w:type="dxa"/>
          <w:right w:w="28" w:type="dxa"/>
        </w:tblCellMar>
      </w:tblPr>
      <w:tblGrid>
        <w:gridCol w:w="1122"/>
        <w:gridCol w:w="109"/>
        <w:gridCol w:w="781"/>
        <w:gridCol w:w="146"/>
        <w:gridCol w:w="1081"/>
        <w:gridCol w:w="109"/>
        <w:gridCol w:w="1857"/>
      </w:tblGrid>
      <w:tr>
        <w:trPr/>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r>
      <w:tr>
        <w:trPr/>
        <w:tc>
          <w:tcPr>
            <w:tcW w:w="1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Abstentions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tcBorders/>
            <w:tcMar>
              <w:top w:w="0" w:type="dxa"/>
              <w:left w:w="0" w:type="dxa"/>
              <w:bottom w:w="0" w:type="dxa"/>
              <w:right w:w="0" w:type="dxa"/>
            </w:tcMar>
            <w:vAlign w:val="center"/>
          </w:tcPr>
          <w:p>
            <w:pPr>
              <w:pStyle w:val="TableContents"/>
              <w:pBdr>
                <w:bottom w:val="single" w:sz="8" w:space="1" w:color="000000"/>
              </w:pBdr>
              <w:bidi w:val="0"/>
              <w:spacing w:before="0" w:after="283"/>
              <w:ind w:left="0" w:right="0" w:firstLine="176"/>
              <w:jc w:val="center"/>
              <w:rPr>
                <w:rFonts w:ascii="Times New Roman" w:hAnsi="Times New Roman"/>
                <w:b/>
                <w:color w:val="000000"/>
                <w:sz w:val="20"/>
              </w:rPr>
            </w:pPr>
            <w:r>
              <w:rPr>
                <w:rFonts w:ascii="Times New Roman" w:hAnsi="Times New Roman"/>
                <w:b/>
                <w:color w:val="000000"/>
                <w:sz w:val="20"/>
              </w:rPr>
              <w:t>Broker Non-Votes</w:t>
            </w:r>
          </w:p>
        </w:tc>
      </w:tr>
      <w:tr>
        <w:trPr/>
        <w:tc>
          <w:tcPr>
            <w:tcW w:w="1122" w:type="dxa"/>
            <w:tcBorders/>
            <w:shd w:fill="CCEEFF" w:val="clear"/>
            <w:tcMar>
              <w:top w:w="0" w:type="dxa"/>
              <w:left w:w="0" w:type="dxa"/>
              <w:bottom w:w="0" w:type="dxa"/>
              <w:right w:w="0" w:type="dxa"/>
            </w:tcMar>
            <w:vAlign w:val="center"/>
          </w:tcPr>
          <w:p>
            <w:pPr>
              <w:pStyle w:val="TableContents"/>
              <w:bidi w:val="0"/>
              <w:spacing w:before="0" w:after="283"/>
              <w:ind w:left="0" w:right="0" w:firstLine="176"/>
              <w:jc w:val="center"/>
              <w:rPr>
                <w:rFonts w:ascii="Times New Roman" w:hAnsi="Times New Roman"/>
                <w:color w:val="000000"/>
                <w:sz w:val="20"/>
              </w:rPr>
            </w:pPr>
            <w:r>
              <w:rPr>
                <w:rFonts w:ascii="Times New Roman" w:hAnsi="Times New Roman"/>
                <w:color w:val="000000"/>
                <w:sz w:val="20"/>
              </w:rPr>
              <w:t>1,719,609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533,207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196,185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3,731,634</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(4) </w:t>
      </w:r>
      <w:r>
        <w:rPr>
          <w:rFonts w:ascii="Times New Roman" w:hAnsi="Times New Roman"/>
          <w:color w:val="000000"/>
          <w:sz w:val="20"/>
          <w:u w:val="single"/>
        </w:rPr>
        <w:t>Approval of Reverse Stock Split</w:t>
      </w:r>
      <w:r>
        <w:rPr>
          <w:rFonts w:ascii="Times New Roman" w:hAnsi="Times New Roman"/>
          <w:color w:val="000000"/>
          <w:sz w:val="20"/>
        </w:rPr>
        <w:t xml:space="preserve">. The Company’s stockholders approved an amendment to the Company’s Certificate of Incorporation, as amended, to effect, in the sole discretion of the Board at any time on or before September 30, 2027, a reverse stock split of the Common Stock, at a ratio to be determined by the Board within a range of 1-to-5 to 1-to-20 (or any number in between),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without reducing the authorized number of shares of Common Stock and without further approval or authorization of the Company’s stockholders, with the approval of 74.12% of the votes cast. The following table shows the tabulation of the votes cast “For” and “Against” this proposal as well as the “Abstentions” submitted for this proposal:</w:t>
      </w:r>
    </w:p>
    <w:p>
      <w:pPr>
        <w:pStyle w:val="TextBody"/>
        <w:bidi w:val="0"/>
        <w:jc w:val="both"/>
        <w:rPr/>
      </w:pPr>
      <w:r>
        <w:rPr/>
        <w:t> </w:t>
      </w:r>
    </w:p>
    <w:tbl>
      <w:tblPr>
        <w:tblW w:w="3573" w:type="dxa"/>
        <w:jc w:val="left"/>
        <w:tblInd w:w="0" w:type="dxa"/>
        <w:tblLayout w:type="fixed"/>
        <w:tblCellMar>
          <w:top w:w="28" w:type="dxa"/>
          <w:left w:w="28" w:type="dxa"/>
          <w:bottom w:w="28" w:type="dxa"/>
          <w:right w:w="28" w:type="dxa"/>
        </w:tblCellMar>
      </w:tblPr>
      <w:tblGrid>
        <w:gridCol w:w="1122"/>
        <w:gridCol w:w="109"/>
        <w:gridCol w:w="931"/>
        <w:gridCol w:w="109"/>
        <w:gridCol w:w="1302"/>
      </w:tblGrid>
      <w:tr>
        <w:trPr/>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1122"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tcBorders/>
            <w:tcMar>
              <w:top w:w="0" w:type="dxa"/>
              <w:left w:w="0" w:type="dxa"/>
              <w:bottom w:w="0" w:type="dxa"/>
              <w:right w:w="0" w:type="dxa"/>
            </w:tcMar>
            <w:vAlign w:val="center"/>
          </w:tcPr>
          <w:p>
            <w:pPr>
              <w:pStyle w:val="TableContents"/>
              <w:pBdr>
                <w:bottom w:val="single" w:sz="8" w:space="1" w:color="000000"/>
              </w:pBdr>
              <w:bidi w:val="0"/>
              <w:spacing w:before="0" w:after="283"/>
              <w:ind w:left="0" w:right="0" w:firstLine="176"/>
              <w:jc w:val="center"/>
              <w:rPr>
                <w:rFonts w:ascii="Times New Roman" w:hAnsi="Times New Roman"/>
                <w:b/>
                <w:color w:val="000000"/>
                <w:sz w:val="20"/>
              </w:rPr>
            </w:pPr>
            <w:r>
              <w:rPr>
                <w:rFonts w:ascii="Times New Roman" w:hAnsi="Times New Roman"/>
                <w:b/>
                <w:color w:val="000000"/>
                <w:sz w:val="20"/>
              </w:rPr>
              <w:t>Abstentions</w:t>
            </w:r>
          </w:p>
        </w:tc>
      </w:tr>
      <w:tr>
        <w:trPr/>
        <w:tc>
          <w:tcPr>
            <w:tcW w:w="1122" w:type="dxa"/>
            <w:tcBorders/>
            <w:shd w:fill="CCEEFF" w:val="clear"/>
            <w:tcMar>
              <w:top w:w="0" w:type="dxa"/>
              <w:left w:w="0" w:type="dxa"/>
              <w:bottom w:w="0" w:type="dxa"/>
              <w:right w:w="0" w:type="dxa"/>
            </w:tcMar>
            <w:vAlign w:val="center"/>
          </w:tcPr>
          <w:p>
            <w:pPr>
              <w:pStyle w:val="TableContents"/>
              <w:bidi w:val="0"/>
              <w:spacing w:before="0" w:after="283"/>
              <w:ind w:left="0" w:right="0" w:firstLine="176"/>
              <w:jc w:val="center"/>
              <w:rPr>
                <w:rFonts w:ascii="Times New Roman" w:hAnsi="Times New Roman"/>
                <w:color w:val="000000"/>
                <w:sz w:val="20"/>
              </w:rPr>
            </w:pPr>
            <w:r>
              <w:rPr>
                <w:rFonts w:ascii="Times New Roman" w:hAnsi="Times New Roman"/>
                <w:color w:val="000000"/>
                <w:sz w:val="20"/>
              </w:rPr>
              <w:t>4,442,521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1,550,392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187,722</w:t>
            </w:r>
          </w:p>
        </w:tc>
      </w:tr>
    </w:tbl>
    <w:p>
      <w:pPr>
        <w:pStyle w:val="TextBody"/>
        <w:bidi w:val="0"/>
        <w:jc w:val="left"/>
        <w:rPr/>
      </w:pPr>
      <w:r>
        <w:rPr/>
        <w:t> </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rFonts w:ascii="Times New Roman" w:hAnsi="Times New Roman"/>
          <w:sz w:val="20"/>
        </w:rPr>
      </w:pPr>
      <w:r>
        <w:rPr>
          <w:rFonts w:ascii="Times New Roman" w:hAnsi="Times New Roman"/>
          <w:color w:val="000000"/>
          <w:sz w:val="20"/>
        </w:rPr>
        <w:t xml:space="preserve">(5) </w:t>
      </w:r>
      <w:r>
        <w:rPr>
          <w:rFonts w:ascii="Times New Roman" w:hAnsi="Times New Roman"/>
          <w:color w:val="000000"/>
          <w:sz w:val="20"/>
          <w:u w:val="single"/>
        </w:rPr>
        <w:t>Amendment and Restatement of Amended and Restated 2022 Equity Incentive Plan to Increase Shares</w:t>
      </w:r>
      <w:r>
        <w:rPr>
          <w:rFonts w:ascii="Times New Roman" w:hAnsi="Times New Roman"/>
          <w:color w:val="000000"/>
          <w:sz w:val="20"/>
        </w:rPr>
        <w:t>. The Company’s stockholders approved the amendment and restatement of the Amended and Restated Plan to increase the number of shares reserved for issuance thereunder by 3,165,000 shares and make certain other clarifying changes, with the approval of 72.52% of the votes cast. The following table shows the tabulation of the votes cast “For” and “Against” this proposal as well as the “Abstentions” and “Broker Non-Votes” submitted for this proposal:</w:t>
      </w:r>
    </w:p>
    <w:tbl>
      <w:tblPr>
        <w:tblW w:w="5205" w:type="dxa"/>
        <w:jc w:val="left"/>
        <w:tblInd w:w="0" w:type="dxa"/>
        <w:tblLayout w:type="fixed"/>
        <w:tblCellMar>
          <w:top w:w="28" w:type="dxa"/>
          <w:left w:w="28" w:type="dxa"/>
          <w:bottom w:w="28" w:type="dxa"/>
          <w:right w:w="28" w:type="dxa"/>
        </w:tblCellMar>
      </w:tblPr>
      <w:tblGrid>
        <w:gridCol w:w="1122"/>
        <w:gridCol w:w="109"/>
        <w:gridCol w:w="781"/>
        <w:gridCol w:w="146"/>
        <w:gridCol w:w="1081"/>
        <w:gridCol w:w="109"/>
        <w:gridCol w:w="1857"/>
      </w:tblGrid>
      <w:tr>
        <w:trPr/>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r>
      <w:tr>
        <w:trPr/>
        <w:tc>
          <w:tcPr>
            <w:tcW w:w="1122"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Abstentions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tcBorders/>
            <w:tcMar>
              <w:top w:w="0" w:type="dxa"/>
              <w:left w:w="0" w:type="dxa"/>
              <w:bottom w:w="0" w:type="dxa"/>
              <w:right w:w="0" w:type="dxa"/>
            </w:tcMar>
            <w:vAlign w:val="center"/>
          </w:tcPr>
          <w:p>
            <w:pPr>
              <w:pStyle w:val="TableContents"/>
              <w:pBdr>
                <w:bottom w:val="single" w:sz="8" w:space="1" w:color="000000"/>
              </w:pBdr>
              <w:bidi w:val="0"/>
              <w:spacing w:before="0" w:after="283"/>
              <w:ind w:left="0" w:right="0" w:firstLine="176"/>
              <w:jc w:val="center"/>
              <w:rPr>
                <w:rFonts w:ascii="Times New Roman" w:hAnsi="Times New Roman"/>
                <w:b/>
                <w:color w:val="000000"/>
                <w:sz w:val="20"/>
              </w:rPr>
            </w:pPr>
            <w:r>
              <w:rPr>
                <w:rFonts w:ascii="Times New Roman" w:hAnsi="Times New Roman"/>
                <w:b/>
                <w:color w:val="000000"/>
                <w:sz w:val="20"/>
              </w:rPr>
              <w:t>Broker Non-Votes</w:t>
            </w:r>
          </w:p>
        </w:tc>
      </w:tr>
      <w:tr>
        <w:trPr/>
        <w:tc>
          <w:tcPr>
            <w:tcW w:w="1122" w:type="dxa"/>
            <w:tcBorders/>
            <w:shd w:fill="CCEEFF" w:val="clear"/>
            <w:tcMar>
              <w:top w:w="0" w:type="dxa"/>
              <w:left w:w="0" w:type="dxa"/>
              <w:bottom w:w="0" w:type="dxa"/>
              <w:right w:w="0" w:type="dxa"/>
            </w:tcMar>
            <w:vAlign w:val="center"/>
          </w:tcPr>
          <w:p>
            <w:pPr>
              <w:pStyle w:val="TableContents"/>
              <w:bidi w:val="0"/>
              <w:spacing w:before="0" w:after="283"/>
              <w:ind w:left="0" w:right="0" w:firstLine="176"/>
              <w:jc w:val="center"/>
              <w:rPr>
                <w:rFonts w:ascii="Times New Roman" w:hAnsi="Times New Roman"/>
                <w:color w:val="000000"/>
                <w:sz w:val="20"/>
              </w:rPr>
            </w:pPr>
            <w:r>
              <w:rPr>
                <w:rFonts w:ascii="Times New Roman" w:hAnsi="Times New Roman"/>
                <w:color w:val="000000"/>
                <w:sz w:val="20"/>
              </w:rPr>
              <w:t>1,644,915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623,037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181,049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3,731,634</w:t>
            </w:r>
          </w:p>
        </w:tc>
      </w:tr>
    </w:tbl>
    <w:p>
      <w:pPr>
        <w:pStyle w:val="TextBody"/>
        <w:bidi w:val="0"/>
        <w:spacing w:before="264" w:after="283"/>
        <w:jc w:val="both"/>
        <w:rPr>
          <w:rFonts w:ascii="Times New Roman" w:hAnsi="Times New Roman"/>
          <w:sz w:val="20"/>
        </w:rPr>
      </w:pPr>
      <w:r>
        <w:rPr>
          <w:rFonts w:ascii="Times New Roman" w:hAnsi="Times New Roman"/>
          <w:color w:val="000000"/>
          <w:sz w:val="20"/>
        </w:rPr>
        <w:t xml:space="preserve">(6) </w:t>
      </w:r>
      <w:r>
        <w:rPr>
          <w:rFonts w:ascii="Times New Roman" w:hAnsi="Times New Roman"/>
          <w:color w:val="000000"/>
          <w:sz w:val="20"/>
          <w:u w:val="single"/>
        </w:rPr>
        <w:t>Approvals Relating to Private Placement Transaction</w:t>
      </w:r>
      <w:r>
        <w:rPr>
          <w:rFonts w:ascii="Times New Roman" w:hAnsi="Times New Roman"/>
          <w:color w:val="000000"/>
          <w:sz w:val="20"/>
        </w:rPr>
        <w:t>. The Company’s stockholders approved, in accordance with Nasdaq Listing Rule 5635(d) and as required under the terms of the Company’s July 2026 private placement transaction, (i) the issuance of 4,705,883 shares of Common Stock upon exercise of those certain common stock purchase warrants issued in such transaction and (ii) the reduction of the exercise price of those certain common stock purchase warrants issued on May 13, 2024 from $9.60 to $0.85 per share of Common Stock, with the approval of 77.87% of the votes cast. The following table shows the tabulation of the votes cast “For” and “Against” this proposal as well as the “Abstentions” and “Broker Non-Votes” submitted for this proposal:</w:t>
        <w:br/>
        <w:t> </w:t>
      </w:r>
    </w:p>
    <w:tbl>
      <w:tblPr>
        <w:tblW w:w="5205" w:type="dxa"/>
        <w:jc w:val="left"/>
        <w:tblInd w:w="0" w:type="dxa"/>
        <w:tblLayout w:type="fixed"/>
        <w:tblCellMar>
          <w:top w:w="28" w:type="dxa"/>
          <w:left w:w="28" w:type="dxa"/>
          <w:bottom w:w="28" w:type="dxa"/>
          <w:right w:w="28" w:type="dxa"/>
        </w:tblCellMar>
      </w:tblPr>
      <w:tblGrid>
        <w:gridCol w:w="1122"/>
        <w:gridCol w:w="109"/>
        <w:gridCol w:w="781"/>
        <w:gridCol w:w="146"/>
        <w:gridCol w:w="1081"/>
        <w:gridCol w:w="109"/>
        <w:gridCol w:w="1857"/>
      </w:tblGrid>
      <w:tr>
        <w:trPr/>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r>
      <w:tr>
        <w:trPr/>
        <w:tc>
          <w:tcPr>
            <w:tcW w:w="1122"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Abstentions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tcBorders/>
            <w:tcMar>
              <w:top w:w="0" w:type="dxa"/>
              <w:left w:w="0" w:type="dxa"/>
              <w:bottom w:w="0" w:type="dxa"/>
              <w:right w:w="0" w:type="dxa"/>
            </w:tcMar>
            <w:vAlign w:val="center"/>
          </w:tcPr>
          <w:p>
            <w:pPr>
              <w:pStyle w:val="TableContents"/>
              <w:pBdr>
                <w:bottom w:val="single" w:sz="8" w:space="1" w:color="000000"/>
              </w:pBdr>
              <w:bidi w:val="0"/>
              <w:spacing w:before="0" w:after="283"/>
              <w:ind w:left="0" w:right="0" w:firstLine="176"/>
              <w:jc w:val="center"/>
              <w:rPr>
                <w:rFonts w:ascii="Times New Roman" w:hAnsi="Times New Roman"/>
                <w:b/>
                <w:color w:val="000000"/>
                <w:sz w:val="20"/>
              </w:rPr>
            </w:pPr>
            <w:r>
              <w:rPr>
                <w:rFonts w:ascii="Times New Roman" w:hAnsi="Times New Roman"/>
                <w:b/>
                <w:color w:val="000000"/>
                <w:sz w:val="20"/>
              </w:rPr>
              <w:t>Broker Non-Votes</w:t>
            </w:r>
          </w:p>
        </w:tc>
      </w:tr>
      <w:tr>
        <w:trPr/>
        <w:tc>
          <w:tcPr>
            <w:tcW w:w="1122" w:type="dxa"/>
            <w:tcBorders/>
            <w:shd w:fill="CCEEFF" w:val="clear"/>
            <w:tcMar>
              <w:top w:w="0" w:type="dxa"/>
              <w:left w:w="0" w:type="dxa"/>
              <w:bottom w:w="0" w:type="dxa"/>
              <w:right w:w="0" w:type="dxa"/>
            </w:tcMar>
            <w:vAlign w:val="center"/>
          </w:tcPr>
          <w:p>
            <w:pPr>
              <w:pStyle w:val="TableContents"/>
              <w:bidi w:val="0"/>
              <w:spacing w:before="0" w:after="283"/>
              <w:ind w:left="0" w:right="0" w:firstLine="176"/>
              <w:jc w:val="center"/>
              <w:rPr>
                <w:rFonts w:ascii="Times New Roman" w:hAnsi="Times New Roman"/>
                <w:color w:val="000000"/>
                <w:sz w:val="20"/>
              </w:rPr>
            </w:pPr>
            <w:r>
              <w:rPr>
                <w:rFonts w:ascii="Times New Roman" w:hAnsi="Times New Roman"/>
                <w:color w:val="000000"/>
                <w:sz w:val="20"/>
              </w:rPr>
              <w:t>1,730,617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491,629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226,755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3,731,634</w:t>
            </w:r>
          </w:p>
        </w:tc>
      </w:tr>
    </w:tbl>
    <w:p>
      <w:pPr>
        <w:pStyle w:val="TextBody"/>
        <w:bidi w:val="0"/>
        <w:spacing w:before="264" w:after="283"/>
        <w:jc w:val="left"/>
        <w:rPr>
          <w:rFonts w:ascii="Times New Roman" w:hAnsi="Times New Roman"/>
          <w:color w:val="000000"/>
          <w:sz w:val="20"/>
        </w:rPr>
      </w:pPr>
      <w:r>
        <w:rPr>
          <w:rFonts w:ascii="Times New Roman" w:hAnsi="Times New Roman"/>
          <w:color w:val="000000"/>
          <w:sz w:val="20"/>
        </w:rPr>
        <w:t>No other items were presented for stockholder approval at the Annual Meeting.</w:t>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9463" w:type="dxa"/>
        <w:jc w:val="left"/>
        <w:tblInd w:w="0" w:type="dxa"/>
        <w:tblLayout w:type="fixed"/>
        <w:tblCellMar>
          <w:top w:w="28" w:type="dxa"/>
          <w:left w:w="28" w:type="dxa"/>
          <w:bottom w:w="28" w:type="dxa"/>
          <w:right w:w="28" w:type="dxa"/>
        </w:tblCellMar>
      </w:tblPr>
      <w:tblGrid>
        <w:gridCol w:w="736"/>
        <w:gridCol w:w="146"/>
        <w:gridCol w:w="8581"/>
      </w:tblGrid>
      <w:tr>
        <w:trPr/>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81" w:type="dxa"/>
            <w:tcBorders/>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Exhibit</w:t>
            </w:r>
          </w:p>
          <w:p>
            <w:pPr>
              <w:pStyle w:val="TableContents"/>
              <w:pBdr>
                <w:bottom w:val="single" w:sz="8" w:space="1" w:color="000000"/>
              </w:pBdr>
              <w:bidi w:val="0"/>
              <w:spacing w:before="0" w:after="20"/>
              <w:jc w:val="center"/>
              <w:rPr>
                <w:rFonts w:ascii="Times New Roman" w:hAnsi="Times New Roman"/>
                <w:color w:val="000000"/>
                <w:sz w:val="20"/>
              </w:rPr>
            </w:pPr>
            <w:r>
              <w:rPr>
                <w:rFonts w:ascii="Times New Roman" w:hAnsi="Times New Roman"/>
                <w:color w:val="000000"/>
                <w:sz w:val="20"/>
              </w:rPr>
              <w:t>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87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10.1 </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tcMar>
              <w:top w:w="0" w:type="dxa"/>
              <w:left w:w="0" w:type="dxa"/>
              <w:bottom w:w="0" w:type="dxa"/>
              <w:right w:w="0" w:type="dxa"/>
            </w:tcMar>
            <w:vAlign w:val="center"/>
          </w:tcPr>
          <w:p>
            <w:pPr>
              <w:pStyle w:val="TableContents"/>
              <w:bidi w:val="0"/>
              <w:jc w:val="left"/>
              <w:rPr/>
            </w:pPr>
            <w:hyperlink w:anchor="vivs-ex10_1.htm">
              <w:r>
                <w:rPr>
                  <w:rStyle w:val="InternetLink"/>
                  <w:rFonts w:ascii="Times New Roman" w:hAnsi="Times New Roman"/>
                  <w:color w:val="0000FF"/>
                  <w:sz w:val="20"/>
                  <w:u w:val="single"/>
                </w:rPr>
                <w:t>VivoSim Labs, Inc. – Amended and Restated 2022 Equity Incentive Plan.</w:t>
              </w:r>
            </w:hyperlink>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in Inline Extensible Business Reporting Language (iXBRL).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729" w:type="dxa"/>
        <w:jc w:val="left"/>
        <w:tblInd w:w="0" w:type="dxa"/>
        <w:tblLayout w:type="fixed"/>
        <w:tblCellMar>
          <w:top w:w="28" w:type="dxa"/>
          <w:left w:w="28" w:type="dxa"/>
          <w:bottom w:w="28" w:type="dxa"/>
          <w:right w:w="28" w:type="dxa"/>
        </w:tblCellMar>
      </w:tblPr>
      <w:tblGrid>
        <w:gridCol w:w="556"/>
        <w:gridCol w:w="1411"/>
        <w:gridCol w:w="451"/>
        <w:gridCol w:w="2311"/>
      </w:tblGrid>
      <w:tr>
        <w:trPr/>
        <w:tc>
          <w:tcPr>
            <w:tcW w:w="5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VivoSim Labs,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3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Keith Murphy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Keith Murphy</w:t>
              <w:br/>
              <w:t>Title: Executive Chairman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vivs-ex10_1.htm"/>
      <w:bookmarkStart w:id="3" w:name="ksvivsex10_1"/>
      <w:bookmarkEnd w:id="2"/>
      <w:bookmarkEnd w:id="3"/>
      <w:r>
        <w:rPr/>
        <w:t> </w:t>
      </w:r>
      <w:r>
        <w:br w:type="page"/>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w:t>
      </w:r>
    </w:p>
    <w:p>
      <w:pPr>
        <w:pStyle w:val="TextBody"/>
        <w:bidi w:val="0"/>
        <w:jc w:val="center"/>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VIVOSIM LABS, INC.</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AMENDED AND RESTATED 2022 EQUITY INCENTIVE PLAN</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(As Amended and Restated on September 30, 2026)</w:t>
      </w:r>
    </w:p>
    <w:p>
      <w:pPr>
        <w:pStyle w:val="TextBody"/>
        <w:bidi w:val="0"/>
        <w:spacing w:before="0" w:after="240"/>
        <w:jc w:val="both"/>
        <w:rPr>
          <w:rFonts w:ascii="Times New Roman" w:hAnsi="Times New Roman"/>
          <w:caps/>
          <w:color w:val="000000"/>
          <w:sz w:val="20"/>
        </w:rPr>
      </w:pPr>
      <w:r>
        <w:rPr>
          <w:rFonts w:ascii="Times New Roman" w:hAnsi="Times New Roman"/>
          <w:caps/>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Purpose of the Plan. The purpose of this Plan is to:</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attract and retain the best available personnel for positions of substantial responsibility,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provide additional incentive to Employees, Directors and Consultants,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promote the success of the Company’s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Plan permits the grant of Incentive Stock Options, Nonstatutory Stock Options, Restricted Stock, Restricted Stock Units, Stock Appreciation Rights, Performance Units and Performance Shares.</w:t>
      </w:r>
    </w:p>
    <w:p>
      <w:pPr>
        <w:pStyle w:val="TextBody"/>
        <w:bidi w:val="0"/>
        <w:spacing w:before="0" w:after="240"/>
        <w:jc w:val="both"/>
        <w:rPr>
          <w:rFonts w:ascii="Times New Roman" w:hAnsi="Times New Roman"/>
          <w:caps/>
          <w:color w:val="000000"/>
          <w:sz w:val="20"/>
        </w:rPr>
      </w:pPr>
      <w:r>
        <w:rPr>
          <w:rFonts w:ascii="Times New Roman" w:hAnsi="Times New Roman"/>
          <w:caps/>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Definitions. The following definitions are used in this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color w:val="000000"/>
        </w:rPr>
      </w:pPr>
      <w:r>
        <w:rPr>
          <w:color w:val="000000"/>
        </w:rPr>
        <w:t>“</w:t>
      </w:r>
      <w:r>
        <w:rPr>
          <w:rFonts w:ascii="Times New Roman" w:hAnsi="Times New Roman"/>
          <w:color w:val="000000"/>
          <w:sz w:val="20"/>
        </w:rPr>
        <w:t>Administrator” means the Board or any of its Committees as will be administering the Plan, in accordance with Section 4 of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color w:val="000000"/>
        </w:rPr>
      </w:pPr>
      <w:r>
        <w:rPr>
          <w:color w:val="000000"/>
        </w:rPr>
        <w:t>“</w:t>
      </w:r>
      <w:r>
        <w:rPr>
          <w:rFonts w:ascii="Times New Roman" w:hAnsi="Times New Roman"/>
          <w:color w:val="000000"/>
          <w:sz w:val="20"/>
        </w:rPr>
        <w:t>Applicable Laws” means the legal and regulatory requirements relating to the administration of equity-based awards and issuance of shares of Common Stock, including under U.S. state corporate laws, U.S. federal and state securities laws, the Code, any stock exchange or quotation system on which the Common Stock is listed or quoted and the applicable laws of any non-U.S. country or jurisdiction where Awards are, or will be, granted under the Plan. Reference to a specific section of an Applicable Law or regulation related to that section shall include such section or regulation, any valid regulation or other official guidance issued under that section, and any comparable provision of any future legislation or regulation amending, supplementing or superseding that section or regulation.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color w:val="000000"/>
        </w:rPr>
      </w:pPr>
      <w:r>
        <w:rPr>
          <w:color w:val="000000"/>
        </w:rPr>
        <w:t>“</w:t>
      </w:r>
      <w:r>
        <w:rPr>
          <w:rFonts w:ascii="Times New Roman" w:hAnsi="Times New Roman"/>
          <w:color w:val="000000"/>
          <w:sz w:val="20"/>
        </w:rPr>
        <w:t>Award” means, individually or collectively, a grant under the Plan of Options, Stock Appreciation Rights, Restricted Stock, Restricted Stock Units, Performance Units or Performance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color w:val="000000"/>
        </w:rPr>
      </w:pPr>
      <w:r>
        <w:rPr>
          <w:color w:val="000000"/>
        </w:rPr>
        <w:t>“</w:t>
      </w:r>
      <w:r>
        <w:rPr>
          <w:rFonts w:ascii="Times New Roman" w:hAnsi="Times New Roman"/>
          <w:color w:val="000000"/>
          <w:sz w:val="20"/>
        </w:rPr>
        <w:t>Award Agreement” means the written or electronic agreement between the Company and a Participant setting forth the terms and provisions applicable to an Award granted under the Plan. The Award Agreement is subject to the terms and conditions of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color w:val="000000"/>
        </w:rPr>
      </w:pPr>
      <w:r>
        <w:rPr>
          <w:color w:val="000000"/>
        </w:rPr>
        <w:t>“</w:t>
      </w:r>
      <w:r>
        <w:rPr>
          <w:rFonts w:ascii="Times New Roman" w:hAnsi="Times New Roman"/>
          <w:color w:val="000000"/>
          <w:sz w:val="20"/>
        </w:rPr>
        <w:t>Board” means the Board of Directors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color w:val="000000"/>
        </w:rPr>
      </w:pPr>
      <w:r>
        <w:rPr>
          <w:color w:val="000000"/>
        </w:rPr>
        <w:t>“</w:t>
      </w:r>
      <w:r>
        <w:rPr>
          <w:rFonts w:ascii="Times New Roman" w:hAnsi="Times New Roman"/>
          <w:color w:val="000000"/>
          <w:sz w:val="20"/>
        </w:rPr>
        <w:t>Change in Control” means the occurrence of any of the following events: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Change in Ownership of the Company. 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provided, however, that for purposes of this subsection, if any one Person is already considered to own more than 50% of the total voting power of the stock of the Company, the acquisition of additional stock by such Person will not be considered a Change in Control;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Change in Effective Control of the Company. A change in the effective control of the Company which occurs on the date that a majority of members of the Board is replaced during any 12-month period by Directors whose appointment or election is not endorsed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Change in Ownership of a Substantial Portion of the Company’s Assets. A change in the ownership of a substantial portion of the Company’s assets which occurs on the date that any Person acquires (or has acquired during the 12-month period ending on the date of the most recent acquisition by such Person)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subsection (iii)(B)(3). For purposes of this subsection (iii), gross fair market value means the value of the assets of the Company, or the value of the assets being disposed of, determined without regard to any liabilities associated with such assets.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purposes of this definition, persons will be considered to be acting as a group if they are owners of a corporation that enters into a merger, consolidation, purchase or acquisition of stock, or similar business transaction with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Further and for the avoidance of doubt,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color w:val="000000"/>
        </w:rPr>
      </w:pPr>
      <w:r>
        <w:rPr>
          <w:color w:val="000000"/>
        </w:rPr>
        <w:t>“</w:t>
      </w:r>
      <w:r>
        <w:rPr>
          <w:rFonts w:ascii="Times New Roman" w:hAnsi="Times New Roman"/>
          <w:color w:val="000000"/>
          <w:sz w:val="20"/>
        </w:rPr>
        <w:t>Code” means the U.S. Internal Revenue Code of 1986.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color w:val="000000"/>
        </w:rPr>
      </w:pPr>
      <w:r>
        <w:rPr>
          <w:color w:val="000000"/>
        </w:rPr>
        <w:t>“</w:t>
      </w:r>
      <w:r>
        <w:rPr>
          <w:rFonts w:ascii="Times New Roman" w:hAnsi="Times New Roman"/>
          <w:color w:val="000000"/>
          <w:sz w:val="20"/>
        </w:rPr>
        <w:t>Committee” means a committee of Directors or of other individuals satisfying Applicable Laws appointed by the Board, or a duly authorized committee of the Board, in accordance with Section 4 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color w:val="000000"/>
        </w:rPr>
      </w:pPr>
      <w:r>
        <w:rPr>
          <w:color w:val="000000"/>
        </w:rPr>
        <w:t>“</w:t>
      </w:r>
      <w:r>
        <w:rPr>
          <w:rFonts w:ascii="Times New Roman" w:hAnsi="Times New Roman"/>
          <w:color w:val="000000"/>
          <w:sz w:val="20"/>
        </w:rPr>
        <w:t>Common Stock” means the common stock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both"/>
        <w:rPr>
          <w:color w:val="000000"/>
        </w:rPr>
      </w:pPr>
      <w:r>
        <w:rPr>
          <w:color w:val="000000"/>
        </w:rPr>
        <w:t>“</w:t>
      </w:r>
      <w:r>
        <w:rPr>
          <w:rFonts w:ascii="Times New Roman" w:hAnsi="Times New Roman"/>
          <w:color w:val="000000"/>
          <w:sz w:val="20"/>
        </w:rPr>
        <w:t>Company” means VivoSim Labs, Inc., a Delaware corporation, or any successor thereto.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40"/>
        <w:jc w:val="both"/>
        <w:rPr>
          <w:color w:val="000000"/>
        </w:rPr>
      </w:pPr>
      <w:r>
        <w:rPr>
          <w:color w:val="000000"/>
        </w:rPr>
        <w:t>“</w:t>
      </w:r>
      <w:r>
        <w:rPr>
          <w:rFonts w:ascii="Times New Roman" w:hAnsi="Times New Roman"/>
          <w:color w:val="000000"/>
          <w:sz w:val="20"/>
        </w:rPr>
        <w:t>Consultant” means any person, including an advisor, engaged by the Company or a Parent or Subsidiary of the Company to render bona fide services to such entity, provided the services (i) are not in connection with the offer or sale of securities in a capital-raising transaction, and (ii) do not directly promote or maintain a market for the Company’s securities, in each case, within the meaning used with respect to Form S-8 promulgated under the Securities Act, and provided, further, that a Consultant will include only those persons to whom the issuance of Shares may be registered under Form S-8 promulgated under the Securities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40"/>
        <w:jc w:val="both"/>
        <w:rPr>
          <w:color w:val="000000"/>
        </w:rPr>
      </w:pPr>
      <w:r>
        <w:rPr>
          <w:color w:val="000000"/>
        </w:rPr>
        <w:t>“</w:t>
      </w:r>
      <w:r>
        <w:rPr>
          <w:rFonts w:ascii="Times New Roman" w:hAnsi="Times New Roman"/>
          <w:color w:val="000000"/>
          <w:sz w:val="20"/>
        </w:rPr>
        <w:t>Director” means a member of the Board.</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40"/>
        <w:jc w:val="both"/>
        <w:rPr>
          <w:color w:val="000000"/>
        </w:rPr>
      </w:pPr>
      <w:r>
        <w:rPr>
          <w:color w:val="000000"/>
        </w:rPr>
        <w:t>“</w:t>
      </w:r>
      <w:r>
        <w:rPr>
          <w:rFonts w:ascii="Times New Roman" w:hAnsi="Times New Roman"/>
          <w:color w:val="000000"/>
          <w:sz w:val="20"/>
        </w:rPr>
        <w:t>Disability”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40"/>
        <w:jc w:val="both"/>
        <w:rPr>
          <w:color w:val="000000"/>
        </w:rPr>
      </w:pPr>
      <w:r>
        <w:rPr>
          <w:color w:val="000000"/>
        </w:rPr>
        <w:t>“</w:t>
      </w:r>
      <w:r>
        <w:rPr>
          <w:rFonts w:ascii="Times New Roman" w:hAnsi="Times New Roman"/>
          <w:color w:val="000000"/>
          <w:sz w:val="20"/>
        </w:rPr>
        <w:t>Employee” means any person, including Officers and Inside Directors, providing services as an employee to the Company or any Parent or Subsidiary of the Company. Neither service as a Director nor payment of a director’s fee by the Company will be sufficient to constitute “employment” by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color w:val="000000"/>
        </w:rPr>
      </w:pPr>
      <w:r>
        <w:rPr>
          <w:color w:val="000000"/>
        </w:rPr>
        <w:t>“</w:t>
      </w:r>
      <w:r>
        <w:rPr>
          <w:rFonts w:ascii="Times New Roman" w:hAnsi="Times New Roman"/>
          <w:color w:val="000000"/>
          <w:sz w:val="20"/>
        </w:rPr>
        <w:t>Exchange Act” means the U.S. Securities Exchange Act of 1934.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w:t>
      </w:r>
    </w:p>
    <w:p>
      <w:pPr>
        <w:pStyle w:val="TextBody"/>
        <w:bidi w:val="0"/>
        <w:spacing w:before="0" w:after="240"/>
        <w:jc w:val="both"/>
        <w:rPr>
          <w:color w:val="000000"/>
        </w:rPr>
      </w:pPr>
      <w:r>
        <w:rPr>
          <w:color w:val="000000"/>
        </w:rPr>
        <w:t>“</w:t>
      </w:r>
      <w:r>
        <w:rPr>
          <w:rFonts w:ascii="Times New Roman" w:hAnsi="Times New Roman"/>
          <w:color w:val="000000"/>
          <w:sz w:val="20"/>
        </w:rPr>
        <w:t>Exchange Program”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As described in Section 4(i), the Administrator may not institute an Exchange Program.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(q)</w:t>
      </w:r>
    </w:p>
    <w:p>
      <w:pPr>
        <w:pStyle w:val="TextBody"/>
        <w:bidi w:val="0"/>
        <w:spacing w:before="0" w:after="240"/>
        <w:jc w:val="both"/>
        <w:rPr>
          <w:color w:val="000000"/>
        </w:rPr>
      </w:pPr>
      <w:r>
        <w:rPr>
          <w:color w:val="000000"/>
        </w:rPr>
        <w:t>“</w:t>
      </w:r>
      <w:r>
        <w:rPr>
          <w:rFonts w:ascii="Times New Roman" w:hAnsi="Times New Roman"/>
          <w:color w:val="000000"/>
          <w:sz w:val="20"/>
        </w:rPr>
        <w:t>Fair Market Value” means, as of any date, the value of Common Stock determined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Common Stock is listed on any established stock exchange or a national market system, including without limitation the Nasdaq Global Select Market, the Nasdaq Global Market or the Nasdaq Capital Market of The Nasdaq Stock Market or the New York Stock Exchange, its Fair Market Value will be the closing sales price for such stock (or, the closing bid, if no sales were reported) as quoted on such exchange or system on the day of determination, as reported by such source as the Administrator deems reliable;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Common Stock is regularly quoted by a recognized securities dealer but selling prices are not reported, the Fair Market Value of a Share will be the mean between the high bid and low asked prices for the Common Stock on the day of determination (or the closing bid, if no sales were reported), as reported by such source as the Administrator deems reliable;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absence of an established market for the Common Stock, the Fair Market Value will be determined in good faith by the Administrator.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Fair Market Value is to be determined under subsection (i) or (ii) above and the determination date for the Fair Market Value occurs on a day other than a Trading Day, the Fair Market Value will be the price as determined under subsection (i) or (ii) above, as applicable, on the immediately preceding Trading Day, unless otherwise determined by the Administrator. 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Note that the determination of Fair Market Value for purposes of withholding Tax-Related Items may be made in the Administrator’s sole discretion subject to Applicable Laws and is not required to be consistent with the determination of Fair Market Value for other purposes.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w:t>
      </w:r>
    </w:p>
    <w:p>
      <w:pPr>
        <w:pStyle w:val="TextBody"/>
        <w:bidi w:val="0"/>
        <w:spacing w:before="0" w:after="240"/>
        <w:jc w:val="both"/>
        <w:rPr>
          <w:color w:val="000000"/>
        </w:rPr>
      </w:pPr>
      <w:r>
        <w:rPr>
          <w:color w:val="000000"/>
        </w:rPr>
        <w:t>“</w:t>
      </w:r>
      <w:r>
        <w:rPr>
          <w:rFonts w:ascii="Times New Roman" w:hAnsi="Times New Roman"/>
          <w:color w:val="000000"/>
          <w:sz w:val="20"/>
        </w:rPr>
        <w:t>Fiscal Year” means the fiscal year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w:t>
      </w:r>
    </w:p>
    <w:p>
      <w:pPr>
        <w:pStyle w:val="TextBody"/>
        <w:bidi w:val="0"/>
        <w:spacing w:before="0" w:after="240"/>
        <w:jc w:val="both"/>
        <w:rPr>
          <w:color w:val="000000"/>
        </w:rPr>
      </w:pPr>
      <w:r>
        <w:rPr>
          <w:color w:val="000000"/>
        </w:rPr>
        <w:t>“</w:t>
      </w:r>
      <w:r>
        <w:rPr>
          <w:rFonts w:ascii="Times New Roman" w:hAnsi="Times New Roman"/>
          <w:color w:val="000000"/>
          <w:sz w:val="20"/>
        </w:rPr>
        <w:t>Full-Value Awards” means any Awards that result in the Company transferring the full value of any underlying Share granted pursuant to an Award, but shall not include Options and Stock Appreciation Rights.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w:t>
      </w:r>
    </w:p>
    <w:p>
      <w:pPr>
        <w:pStyle w:val="TextBody"/>
        <w:bidi w:val="0"/>
        <w:spacing w:before="0" w:after="240"/>
        <w:jc w:val="both"/>
        <w:rPr>
          <w:color w:val="000000"/>
        </w:rPr>
      </w:pPr>
      <w:r>
        <w:rPr>
          <w:color w:val="000000"/>
        </w:rPr>
        <w:t>“</w:t>
      </w:r>
      <w:r>
        <w:rPr>
          <w:rFonts w:ascii="Times New Roman" w:hAnsi="Times New Roman"/>
          <w:color w:val="000000"/>
          <w:sz w:val="20"/>
        </w:rPr>
        <w:t>Incentive Stock Option” means an Option that is intended to qualify, and actually qualifies, as an incentive stock option within the meaning of Section 422 of the Code and the regulations promulgated thereunder.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w:t>
      </w:r>
    </w:p>
    <w:p>
      <w:pPr>
        <w:pStyle w:val="TextBody"/>
        <w:bidi w:val="0"/>
        <w:spacing w:before="0" w:after="240"/>
        <w:jc w:val="both"/>
        <w:rPr>
          <w:color w:val="000000"/>
        </w:rPr>
      </w:pPr>
      <w:r>
        <w:rPr>
          <w:color w:val="000000"/>
        </w:rPr>
        <w:t>“</w:t>
      </w:r>
      <w:r>
        <w:rPr>
          <w:rFonts w:ascii="Times New Roman" w:hAnsi="Times New Roman"/>
          <w:color w:val="000000"/>
          <w:sz w:val="20"/>
        </w:rPr>
        <w:t>Inside Director” means a Director who is an Employee.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color w:val="000000"/>
        </w:rPr>
      </w:pPr>
      <w:r>
        <w:rPr>
          <w:color w:val="000000"/>
        </w:rPr>
        <w:t>“</w:t>
      </w:r>
      <w:r>
        <w:rPr>
          <w:rFonts w:ascii="Times New Roman" w:hAnsi="Times New Roman"/>
          <w:color w:val="000000"/>
          <w:sz w:val="20"/>
        </w:rPr>
        <w:t>Nonstatutory Stock Option” means an Option that by its terms does not qualify or is not intended to qualify as an Incentive Stock Option.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w:t>
      </w:r>
    </w:p>
    <w:p>
      <w:pPr>
        <w:pStyle w:val="TextBody"/>
        <w:bidi w:val="0"/>
        <w:spacing w:before="0" w:after="240"/>
        <w:jc w:val="both"/>
        <w:rPr>
          <w:color w:val="000000"/>
        </w:rPr>
      </w:pPr>
      <w:r>
        <w:rPr>
          <w:color w:val="000000"/>
        </w:rPr>
        <w:t>“</w:t>
      </w:r>
      <w:r>
        <w:rPr>
          <w:rFonts w:ascii="Times New Roman" w:hAnsi="Times New Roman"/>
          <w:color w:val="000000"/>
          <w:sz w:val="20"/>
        </w:rPr>
        <w:t>Officer” means a person who is an officer of the Company within the meaning of Section 16 of the Exchange Act and the rules and regulations promulgated thereunder.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w:t>
      </w:r>
    </w:p>
    <w:p>
      <w:pPr>
        <w:pStyle w:val="TextBody"/>
        <w:bidi w:val="0"/>
        <w:spacing w:before="0" w:after="240"/>
        <w:jc w:val="both"/>
        <w:rPr>
          <w:color w:val="000000"/>
        </w:rPr>
      </w:pPr>
      <w:r>
        <w:rPr>
          <w:color w:val="000000"/>
        </w:rPr>
        <w:t>“</w:t>
      </w:r>
      <w:r>
        <w:rPr>
          <w:rFonts w:ascii="Times New Roman" w:hAnsi="Times New Roman"/>
          <w:color w:val="000000"/>
          <w:sz w:val="20"/>
        </w:rPr>
        <w:t>Option” means a stock option granted pursuant to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w:t>
      </w:r>
    </w:p>
    <w:p>
      <w:pPr>
        <w:pStyle w:val="TextBody"/>
        <w:bidi w:val="0"/>
        <w:spacing w:before="0" w:after="240"/>
        <w:jc w:val="both"/>
        <w:rPr>
          <w:color w:val="000000"/>
        </w:rPr>
      </w:pPr>
      <w:r>
        <w:rPr>
          <w:color w:val="000000"/>
        </w:rPr>
        <w:t>“</w:t>
      </w:r>
      <w:r>
        <w:rPr>
          <w:rFonts w:ascii="Times New Roman" w:hAnsi="Times New Roman"/>
          <w:color w:val="000000"/>
          <w:sz w:val="20"/>
        </w:rPr>
        <w:t>Outside Director” means a Director who is not an Employee.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(z)</w:t>
      </w:r>
    </w:p>
    <w:p>
      <w:pPr>
        <w:pStyle w:val="TextBody"/>
        <w:bidi w:val="0"/>
        <w:spacing w:before="0" w:after="240"/>
        <w:jc w:val="both"/>
        <w:rPr>
          <w:color w:val="000000"/>
        </w:rPr>
      </w:pPr>
      <w:r>
        <w:rPr>
          <w:color w:val="000000"/>
        </w:rPr>
        <w:t>“</w:t>
      </w:r>
      <w:r>
        <w:rPr>
          <w:rFonts w:ascii="Times New Roman" w:hAnsi="Times New Roman"/>
          <w:color w:val="000000"/>
          <w:sz w:val="20"/>
        </w:rPr>
        <w:t>Parent” means a “parent corporation” of the Company, whether now or hereafter existing, as defined in Section 424(e) of the Code.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(aa)</w:t>
      </w:r>
    </w:p>
    <w:p>
      <w:pPr>
        <w:pStyle w:val="TextBody"/>
        <w:bidi w:val="0"/>
        <w:spacing w:before="0" w:after="240"/>
        <w:jc w:val="both"/>
        <w:rPr>
          <w:color w:val="000000"/>
        </w:rPr>
      </w:pPr>
      <w:r>
        <w:rPr>
          <w:color w:val="000000"/>
        </w:rPr>
        <w:t>“</w:t>
      </w:r>
      <w:r>
        <w:rPr>
          <w:rFonts w:ascii="Times New Roman" w:hAnsi="Times New Roman"/>
          <w:color w:val="000000"/>
          <w:sz w:val="20"/>
        </w:rPr>
        <w:t>Participant” means the holder of an outstanding Award.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(bb)</w:t>
      </w:r>
    </w:p>
    <w:p>
      <w:pPr>
        <w:pStyle w:val="TextBody"/>
        <w:bidi w:val="0"/>
        <w:spacing w:before="0" w:after="240"/>
        <w:jc w:val="both"/>
        <w:rPr>
          <w:color w:val="000000"/>
        </w:rPr>
      </w:pPr>
      <w:r>
        <w:rPr>
          <w:color w:val="000000"/>
        </w:rPr>
        <w:t>“</w:t>
      </w:r>
      <w:r>
        <w:rPr>
          <w:rFonts w:ascii="Times New Roman" w:hAnsi="Times New Roman"/>
          <w:color w:val="000000"/>
          <w:sz w:val="20"/>
        </w:rPr>
        <w:t>Performance Share” means an Award denominated in Shares which may be earned in whole or in part upon attainment of performance goals or other vesting criteria as the Administrator may determine pursuant to Section 10.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(cc)</w:t>
      </w:r>
    </w:p>
    <w:p>
      <w:pPr>
        <w:pStyle w:val="TextBody"/>
        <w:bidi w:val="0"/>
        <w:spacing w:before="0" w:after="240"/>
        <w:jc w:val="both"/>
        <w:rPr>
          <w:color w:val="000000"/>
        </w:rPr>
      </w:pPr>
      <w:r>
        <w:rPr>
          <w:color w:val="000000"/>
        </w:rPr>
        <w:t>“</w:t>
      </w:r>
      <w:r>
        <w:rPr>
          <w:rFonts w:ascii="Times New Roman" w:hAnsi="Times New Roman"/>
          <w:color w:val="000000"/>
          <w:sz w:val="20"/>
        </w:rPr>
        <w:t>Performance Unit” means an Award denominated in Shares or cash, which may be earned in whole or in part upon attainment of performance goals or other vesting criteria as the Administrator may determine and which may be settled for cash, Shares or other securities or a combination of the foregoing pursuant to Section 10.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(dd)</w:t>
      </w:r>
    </w:p>
    <w:p>
      <w:pPr>
        <w:pStyle w:val="TextBody"/>
        <w:bidi w:val="0"/>
        <w:spacing w:before="0" w:after="240"/>
        <w:jc w:val="both"/>
        <w:rPr>
          <w:color w:val="000000"/>
        </w:rPr>
      </w:pPr>
      <w:r>
        <w:rPr>
          <w:color w:val="000000"/>
        </w:rPr>
        <w:t>“</w:t>
      </w:r>
      <w:r>
        <w:rPr>
          <w:rFonts w:ascii="Times New Roman" w:hAnsi="Times New Roman"/>
          <w:color w:val="000000"/>
          <w:sz w:val="20"/>
        </w:rPr>
        <w:t>Period of Restriction” means the period (if any) during which the transfer of Shares of Restricted Stock is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(ee)</w:t>
      </w:r>
    </w:p>
    <w:p>
      <w:pPr>
        <w:pStyle w:val="TextBody"/>
        <w:bidi w:val="0"/>
        <w:spacing w:before="0" w:after="240"/>
        <w:jc w:val="both"/>
        <w:rPr>
          <w:color w:val="000000"/>
        </w:rPr>
      </w:pPr>
      <w:r>
        <w:rPr>
          <w:color w:val="000000"/>
        </w:rPr>
        <w:t>“</w:t>
      </w:r>
      <w:r>
        <w:rPr>
          <w:rFonts w:ascii="Times New Roman" w:hAnsi="Times New Roman"/>
          <w:color w:val="000000"/>
          <w:sz w:val="20"/>
        </w:rPr>
        <w:t>Plan” means this VivoSim Labs, Inc. Amended and Restated 2022 Equity Incentive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(ff)</w:t>
      </w:r>
    </w:p>
    <w:p>
      <w:pPr>
        <w:pStyle w:val="TextBody"/>
        <w:bidi w:val="0"/>
        <w:spacing w:before="0" w:after="240"/>
        <w:jc w:val="both"/>
        <w:rPr>
          <w:color w:val="000000"/>
        </w:rPr>
      </w:pPr>
      <w:r>
        <w:rPr>
          <w:color w:val="000000"/>
        </w:rPr>
        <w:t>“</w:t>
      </w:r>
      <w:r>
        <w:rPr>
          <w:rFonts w:ascii="Times New Roman" w:hAnsi="Times New Roman"/>
          <w:color w:val="000000"/>
          <w:sz w:val="20"/>
        </w:rPr>
        <w:t>Restricted Stock” means Shares issued pursuant to a Restricted Stock Award under Section 7 of the Plan, or issued pursuant to the early exercise of an Option.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(gg)</w:t>
      </w:r>
    </w:p>
    <w:p>
      <w:pPr>
        <w:pStyle w:val="TextBody"/>
        <w:bidi w:val="0"/>
        <w:spacing w:before="0" w:after="240"/>
        <w:jc w:val="both"/>
        <w:rPr>
          <w:color w:val="000000"/>
        </w:rPr>
      </w:pPr>
      <w:r>
        <w:rPr>
          <w:color w:val="000000"/>
        </w:rPr>
        <w:t>“</w:t>
      </w:r>
      <w:r>
        <w:rPr>
          <w:rFonts w:ascii="Times New Roman" w:hAnsi="Times New Roman"/>
          <w:color w:val="000000"/>
          <w:sz w:val="20"/>
        </w:rPr>
        <w:t>Restricted Stock Unit” means a bookkeeping entry representing an amount equal to the Fair Market Value of one Share, granted pursuant to Section 8. Each Restricted Stock Unit represents an unfunded and unsecured obligation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(hh)</w:t>
      </w:r>
    </w:p>
    <w:p>
      <w:pPr>
        <w:pStyle w:val="TextBody"/>
        <w:bidi w:val="0"/>
        <w:spacing w:before="0" w:after="240"/>
        <w:jc w:val="both"/>
        <w:rPr>
          <w:color w:val="000000"/>
        </w:rPr>
      </w:pPr>
      <w:r>
        <w:rPr>
          <w:color w:val="000000"/>
        </w:rPr>
        <w:t>“</w:t>
      </w:r>
      <w:r>
        <w:rPr>
          <w:rFonts w:ascii="Times New Roman" w:hAnsi="Times New Roman"/>
          <w:color w:val="000000"/>
          <w:sz w:val="20"/>
        </w:rPr>
        <w:t>Rule 16b-3” means Rule 16b-3 of the Exchange Act or any successor to Rule 16b</w:t>
        <w:noBreakHyphen/>
        <w:t>3, as in effect when discretion is being exercised with respect to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color w:val="000000"/>
        </w:rPr>
      </w:pPr>
      <w:r>
        <w:rPr>
          <w:color w:val="000000"/>
        </w:rPr>
        <w:t>“</w:t>
      </w:r>
      <w:r>
        <w:rPr>
          <w:rFonts w:ascii="Times New Roman" w:hAnsi="Times New Roman"/>
          <w:color w:val="000000"/>
          <w:sz w:val="20"/>
        </w:rPr>
        <w:t>Section 16(b)” means Section 16(b) of the Exchange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(jj)</w:t>
      </w:r>
    </w:p>
    <w:p>
      <w:pPr>
        <w:pStyle w:val="TextBody"/>
        <w:bidi w:val="0"/>
        <w:spacing w:before="0" w:after="240"/>
        <w:jc w:val="both"/>
        <w:rPr>
          <w:color w:val="000000"/>
        </w:rPr>
      </w:pPr>
      <w:r>
        <w:rPr>
          <w:color w:val="000000"/>
        </w:rPr>
        <w:t>“</w:t>
      </w:r>
      <w:r>
        <w:rPr>
          <w:rFonts w:ascii="Times New Roman" w:hAnsi="Times New Roman"/>
          <w:color w:val="000000"/>
          <w:sz w:val="20"/>
        </w:rPr>
        <w:t>Section 409A” means Section 409A of the Code.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(kk)</w:t>
      </w:r>
    </w:p>
    <w:p>
      <w:pPr>
        <w:pStyle w:val="TextBody"/>
        <w:bidi w:val="0"/>
        <w:spacing w:before="0" w:after="240"/>
        <w:jc w:val="both"/>
        <w:rPr>
          <w:color w:val="000000"/>
        </w:rPr>
      </w:pPr>
      <w:r>
        <w:rPr>
          <w:color w:val="000000"/>
        </w:rPr>
        <w:t>“</w:t>
      </w:r>
      <w:r>
        <w:rPr>
          <w:rFonts w:ascii="Times New Roman" w:hAnsi="Times New Roman"/>
          <w:color w:val="000000"/>
          <w:sz w:val="20"/>
        </w:rPr>
        <w:t>Securities Act” means the U.S. Securities Act of 1933.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(ll)</w:t>
      </w:r>
    </w:p>
    <w:p>
      <w:pPr>
        <w:pStyle w:val="TextBody"/>
        <w:bidi w:val="0"/>
        <w:spacing w:before="0" w:after="240"/>
        <w:jc w:val="both"/>
        <w:rPr>
          <w:color w:val="000000"/>
        </w:rPr>
      </w:pPr>
      <w:r>
        <w:rPr>
          <w:color w:val="000000"/>
        </w:rPr>
        <w:t>“</w:t>
      </w:r>
      <w:r>
        <w:rPr>
          <w:rFonts w:ascii="Times New Roman" w:hAnsi="Times New Roman"/>
          <w:color w:val="000000"/>
          <w:sz w:val="20"/>
        </w:rPr>
        <w:t>Service Provider” means an Employee, Director or Consultant.</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(mm)</w:t>
      </w:r>
    </w:p>
    <w:p>
      <w:pPr>
        <w:pStyle w:val="TextBody"/>
        <w:bidi w:val="0"/>
        <w:spacing w:before="0" w:after="240"/>
        <w:jc w:val="both"/>
        <w:rPr>
          <w:color w:val="000000"/>
        </w:rPr>
      </w:pPr>
      <w:r>
        <w:rPr>
          <w:color w:val="000000"/>
        </w:rPr>
        <w:t>“</w:t>
      </w:r>
      <w:r>
        <w:rPr>
          <w:rFonts w:ascii="Times New Roman" w:hAnsi="Times New Roman"/>
          <w:color w:val="000000"/>
          <w:sz w:val="20"/>
        </w:rPr>
        <w:t>Share” means a share of the Common Stock, as adjusted in accordance with Section 14 of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(nn)</w:t>
      </w:r>
    </w:p>
    <w:p>
      <w:pPr>
        <w:pStyle w:val="TextBody"/>
        <w:bidi w:val="0"/>
        <w:spacing w:before="0" w:after="240"/>
        <w:jc w:val="both"/>
        <w:rPr>
          <w:color w:val="000000"/>
        </w:rPr>
      </w:pPr>
      <w:r>
        <w:rPr>
          <w:color w:val="000000"/>
        </w:rPr>
        <w:t>“</w:t>
      </w:r>
      <w:r>
        <w:rPr>
          <w:rFonts w:ascii="Times New Roman" w:hAnsi="Times New Roman"/>
          <w:color w:val="000000"/>
          <w:sz w:val="20"/>
        </w:rPr>
        <w:t>Stock Appreciation Right” means an Award, granted alone or in connection with an Option, that pursuant to Section 9 is designated as a Stock Appreciation Right.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(oo)</w:t>
      </w:r>
    </w:p>
    <w:p>
      <w:pPr>
        <w:pStyle w:val="TextBody"/>
        <w:bidi w:val="0"/>
        <w:spacing w:before="0" w:after="240"/>
        <w:jc w:val="both"/>
        <w:rPr>
          <w:color w:val="000000"/>
        </w:rPr>
      </w:pPr>
      <w:r>
        <w:rPr>
          <w:color w:val="000000"/>
        </w:rPr>
        <w:t>“</w:t>
      </w:r>
      <w:r>
        <w:rPr>
          <w:rFonts w:ascii="Times New Roman" w:hAnsi="Times New Roman"/>
          <w:color w:val="000000"/>
          <w:sz w:val="20"/>
        </w:rPr>
        <w:t>Subsidiary” means a “subsidiary corporation” of the Company whether now or hereafter existing, as defined in Section 424(f) of the Code.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(pp)</w:t>
      </w:r>
    </w:p>
    <w:p>
      <w:pPr>
        <w:pStyle w:val="TextBody"/>
        <w:bidi w:val="0"/>
        <w:spacing w:before="0" w:after="240"/>
        <w:jc w:val="both"/>
        <w:rPr>
          <w:color w:val="000000"/>
        </w:rPr>
      </w:pPr>
      <w:r>
        <w:rPr>
          <w:color w:val="000000"/>
        </w:rPr>
        <w:t>“</w:t>
      </w:r>
      <w:r>
        <w:rPr>
          <w:rFonts w:ascii="Times New Roman" w:hAnsi="Times New Roman"/>
          <w:color w:val="000000"/>
          <w:sz w:val="20"/>
        </w:rPr>
        <w:t>Substituted Award” means an Award granted in substitution for an equity award of an acquired entity in connection with a merger, reorganization, separation or other transaction to which Section 424(a) of the Code applies.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(qq)</w:t>
      </w:r>
    </w:p>
    <w:p>
      <w:pPr>
        <w:pStyle w:val="TextBody"/>
        <w:bidi w:val="0"/>
        <w:spacing w:before="0" w:after="240"/>
        <w:jc w:val="both"/>
        <w:rPr>
          <w:color w:val="000000"/>
        </w:rPr>
      </w:pPr>
      <w:r>
        <w:rPr>
          <w:color w:val="000000"/>
        </w:rPr>
        <w:t>“</w:t>
      </w:r>
      <w:r>
        <w:rPr>
          <w:rFonts w:ascii="Times New Roman" w:hAnsi="Times New Roman"/>
          <w:color w:val="000000"/>
          <w:sz w:val="20"/>
        </w:rPr>
        <w:t>Tax-Related Items” means any U.S. and non-U.S. federal, state, or local taxes (including, without limitation, income tax, social insurance, payroll tax, fringe benefits tax, payment on account and any other tax-related items) related to a Participant’s participation in the Plan and legally applicable or deemed applicable to the Participant, or that have been transferred to the Participant.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(rr)</w:t>
      </w:r>
    </w:p>
    <w:p>
      <w:pPr>
        <w:pStyle w:val="TextBody"/>
        <w:bidi w:val="0"/>
        <w:spacing w:before="0" w:after="240"/>
        <w:jc w:val="both"/>
        <w:rPr>
          <w:color w:val="000000"/>
        </w:rPr>
      </w:pPr>
      <w:r>
        <w:rPr>
          <w:color w:val="000000"/>
        </w:rPr>
        <w:t>“</w:t>
      </w:r>
      <w:r>
        <w:rPr>
          <w:rFonts w:ascii="Times New Roman" w:hAnsi="Times New Roman"/>
          <w:color w:val="000000"/>
          <w:sz w:val="20"/>
        </w:rPr>
        <w:t>Trading Day” means a day that the primary stock exchange, national market system, or other trading platform, as applicable, upon which the Common Stock is listed is open for trading.</w:t>
      </w:r>
    </w:p>
    <w:p>
      <w:pPr>
        <w:pStyle w:val="TextBody"/>
        <w:bidi w:val="0"/>
        <w:spacing w:before="0" w:after="240"/>
        <w:jc w:val="both"/>
        <w:rPr>
          <w:rFonts w:ascii="Times New Roman" w:hAnsi="Times New Roman"/>
          <w:caps/>
          <w:color w:val="000000"/>
          <w:sz w:val="20"/>
        </w:rPr>
      </w:pPr>
      <w:r>
        <w:rPr>
          <w:rFonts w:ascii="Times New Roman" w:hAnsi="Times New Roman"/>
          <w:caps/>
          <w:color w:val="000000"/>
          <w:sz w:val="20"/>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Stock Subject to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Stock Subject to the Plan. Subject to the provisions of Section 14 of the Plan, the maximum aggregate number of Shares that may be issued under the Plan is (i) 3,415,978 Shares, plus (ii) any Shares subject to awards granted under the Company’s Amended and Restated 2012 Equity Incentive Plan, as amended, that, on or after the date stockholders initially approve the Plan, expire or otherwise terminate without having been exercised or issued in full or are forfeited to or repurchased by the Company due to failure to vest, with the maximum number of Shares to be added to the Plan pursuant to clause (ii) equal to 1,367,722 Shares. In addition, Shares may become available for issuance under the Plan pursuant to Section 3(c). The Shares may be authorized, but unissued, or reacquired Common Stock. If the Administrator grants Substituted Awards in substitution for equity awards outstanding under a plan maintained by an entity acquired by or consolidated with the Company, the grant of those Substituted Awards will not decrease the number of Shares available for issuance under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Share Conversion Ratio. Any Shares that are subject to Full-Value Awards will be counted against the numerical limits of Section 3(a) as 1.15 Shares for every one Share subject thereto. To the extent that a Share that was subject to an Award that counted as 1.15 Shares against the Plan reserve pursuant to the preceding sentence is recycled back into the Plan under Section 3(c), the Plan will be credited with 1.15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Lapsed Awards. If an Award expires without having been exercised in full, or, with respect to Restricted Stock, Restricted Stock Units, Performance Units or Performance Shares, is forfeited to or repurchased by the Company, then the unpurchased Shares (or for Awards other than Options or Stock Appreciation Rights, the forfeited or repurchased Shares) that were subject thereto will become available for future grant or sale under the Plan (unless the Plan has terminated). Upon exercise of a Stock Appreciation Right settled in Shares, the gross number of Shares covered by the portion of the Stock Appreciation Right so exercised will cease to be available under the Plan. Shares that actually have been issued under the Plan under any Award will not be returned to the Plan and will not become available for future distribution under the Plan; provided, however, that if unvested Shares of Restricted Stock, Restricted Stock Units, Performance Shares or Performance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Units are repurchased by the Company or are forfeited to the Company, such Shares will become available for future grant under the Plan. Shares used to pay the exercise price or purchase price of an Award or to satisfy the tax withholding obligations related to an Award will not become available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future grant or sale under the Plan. To the extent an Award under the Plan is paid out in cash rather than Shares, such cash payment will not reduce the number of Shares available for issuance under the Plan. Notwithstanding the foregoing and, subject to adjustment as provided in Section 14,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this Section 3(c).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Share Reserve. The Company, at all times during the term of this Plan, will reserve and keep available such number of Shares as will be sufficient to satisfy the requirements of the Plan.</w:t>
      </w:r>
    </w:p>
    <w:p>
      <w:pPr>
        <w:pStyle w:val="TextBody"/>
        <w:bidi w:val="0"/>
        <w:spacing w:before="0" w:after="240"/>
        <w:jc w:val="both"/>
        <w:rPr>
          <w:rFonts w:ascii="Times New Roman" w:hAnsi="Times New Roman"/>
          <w:caps/>
          <w:color w:val="000000"/>
          <w:sz w:val="20"/>
        </w:rPr>
      </w:pPr>
      <w:r>
        <w:rPr>
          <w:rFonts w:ascii="Times New Roman" w:hAnsi="Times New Roman"/>
          <w:caps/>
          <w:color w:val="000000"/>
          <w:sz w:val="20"/>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Administration of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Procedure.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General. The Plan will be administered by (A) the Board or (B) a Committee constituted to satisfy Applicable Laws. The Board or Committee will be the Administrator. Different Administrators may administer the Plan with respect to different groups of Service Providers. The Board may retain the authority to concurrently administer the Plan with a Committee and may, at any time, revoke the delegation of some or all authority previously delegated.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Rule 16b-3. To the extent desirable to qualify transactions hereunder as exempt under Rule 16b-3, the transactions contemplated hereunder will be structured to satisfy the requirements for exemption under Rule 16b-3.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Powers of the Administrator. Subject to the Plan, any limitations on delegations specified by the Board, and any requirements imposed by Applicable Laws, the Administrator will have the authority, in its sole discretion, to make any determinations and perform any actions deemed necessary or advisable to administer the Plan including 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determine the Fair Market Value;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select the Service Providers to whom Awards may be granted hereunder;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determine the number of Shares to be covered by each Award granted hereunder;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approve forms of Award Agreements for use under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determine the terms and conditions, not inconsistent with the terms of the Plan, of any Award granted hereunder. The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to an Award;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establish, amend and rescind rules and regulations and adopt sub-plans relating to the Plan, including rules, regulations and sub-plans for the purposes of facilitating compliance with non-U.S. laws, easing the administration of the Plan and/or taking advantage of tax</w:t>
        <w:noBreakHyphen/>
        <w:t>favorable treatment for Awards granted to Service Providers outside the 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interpret the Plan and make any decision necessary to administer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interpret, modify or amend each Award (subject to Section 17(c) of the Plan), including without limitation the discretionary authority to extend the post-termination exercisability period of Awards;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(ix)</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allow Participants to satisfy tax withholding obligations in a manner prescribed in Section 15 of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authorize any person to execute on behalf of the Company any instrument required to effect the grant of an Award previously granted by the Administrator;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delegate ministerial duties to any of the Company’s employees;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temporarily suspend the exercisability of an Award if the Administrator deems such suspension to be necessary or appropriate for administrative purposes;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allow a Participant to defer the receipt of the payment of cash or the delivery of Shares that otherwise would be due to the Participant under an Award; and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make all other determinations deemed necessary or advisable for administering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Grant Date. The grant date of an Award (“Grant Date”) will be the date that the Administrator makes the determination granting such Award or may be a later date if such later date is designated by the Administrator on the date of the determination or under an automatic grant policy. Notice of the determination will be provided to each Participant within a reasonable time after the Grant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Waiver. The Administrator may waive any terms, conditions or restrictions.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Fractional Shares. Except as otherwise provided by the Administrator, any fractional Shares that result from the adjustment of Awards will be cancelled. Any fractional Shares that result from vesting percentages will be accumulated and vested on the date that an accumulated full Share is vested.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Electronic Delivery. The Company may deliver by e-mail or other electronic means (including posting on a website maintained by the Company or its agent) all documents relating to the Plan or any Award and all other documents that the Company is required to deliver to its security holders (including prospectuses, annual reports and proxy statements).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Choice of Law; Choice of Forum. The Plan, all Awards and all determinations made and actions taken under the Plan, to the extent not otherwise governed by the laws of the United States, will be governed by the laws of the State of Delaware without giving effect to principles of conflicts of law. For purposes of litigating any dispute that arises under this Plan, a Participant’s acceptance of an Award is his or her consent to the jurisdiction of the State of Delaware, and agreement that any such litigation will be conducted in the Delaware Court of Chancery, or the federal courts of the United States for the District of Delaware, and no other courts, regardless of where a Participant’s services are performed.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Effect of Administrator’s Decision. The Administrator’s decisions, determinations and interpretations will be final and binding on all Participants and any other holders of Awards and will be given the maximum deference permitted by Applicable 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Exchange Program. The Administrator may not institute an Exchange Program.</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aps/>
          <w:color w:val="000000"/>
          <w:sz w:val="20"/>
        </w:rPr>
      </w:pPr>
      <w:r>
        <w:rPr>
          <w:rFonts w:ascii="Times New Roman" w:hAnsi="Times New Roman"/>
          <w:caps/>
          <w:color w:val="000000"/>
          <w:sz w:val="20"/>
        </w:rPr>
        <w:t>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Eligibility. Nonstatutory Stock Options, Stock Appreciation Rights, Restricted Stock, Restricted Stock Units, Performance Shares and Performance Units may be granted to Service Providers. Incentive Stock Options may be granted only to Employees.</w:t>
      </w:r>
    </w:p>
    <w:p>
      <w:pPr>
        <w:pStyle w:val="TextBody"/>
        <w:bidi w:val="0"/>
        <w:spacing w:before="0" w:after="240"/>
        <w:jc w:val="both"/>
        <w:rPr>
          <w:rFonts w:ascii="Times New Roman" w:hAnsi="Times New Roman"/>
          <w:caps/>
          <w:color w:val="000000"/>
          <w:sz w:val="20"/>
        </w:rPr>
      </w:pPr>
      <w:r>
        <w:rPr>
          <w:rFonts w:ascii="Times New Roman" w:hAnsi="Times New Roman"/>
          <w:caps/>
          <w:color w:val="000000"/>
          <w:sz w:val="20"/>
        </w:rPr>
        <w:t>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Stock Options.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Grant of Options. Subject to the terms and provisions of the Plan, the Administrator, at any time and from time to time, may grant Options to Service Providers in such amounts as the Administrator determines in its sole discretion.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Stock Option Agreement. Each Option will be evidenced by an Award Agreement that will specify the exercise price, the number of Shares subject to the Option, the exercise restrictions, if any, applicable to the Option, and such other terms and conditions as the Administrator determines in its sole discretion.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Limitations.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$100,000, such Options will be treated as Nonstatutory Stock Options. For purposes of this Section 6(c), Incentive Stock Options will be taken into account in the order in which they were granted. The Fair Market Value of the Shares will be determined as of the time the Option with respect to such Shares is granted.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Term of Option. The term of each Option will be stated in the Award Agreement. The term of an Option will be 10 years from the Grant Date or such shorter term as may be provided in the Award Agreement. Moreover, in the case of an Incentive Stock Option granted to a Participant who, at the time the Incentive Stock Option is granted, owns stock representing more than 10% of the total combined voting power of all classes of stock of the Company or any Parent or Subsidiary, the term of the Incentive Stock Option will be five years from the Grant Date or such shorter term as may be provided in the Award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Option Exercise Price and Consideration.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Exercise Price. The per share exercise price for the Shares to be issued pursuant to exercise of an Option will be determined by the Administrator, subject to the following: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case of an Incentive Stock Option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granted to an Employee who, at the time the Incentive Stock Option is granted, owns stock representing more than 10% of the voting power of all classes of stock of the Company or any Parent or Subsidiary, the per Share exercise price will be no less than 110% of the Fair Market Value per Share on the Grant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granted to any Employee other than an Employee described in paragraph (A) immediately above, the per Share exercise price will be no less than 100% of the Fair Market Value per Share on the Grant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case of a Nonstatutory Stock Option, the per Share exercise price will be determined by the Administrator and will be no less than 100% of the Fair Market Value per Share on the Grant Date unless otherwise required by Applicable 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Notwithstanding the foregoing, Options may be granted with a per Share exercise price of less than 100% of the Fair Market Value per Share on the Grant Date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a transaction described in, and in a manner consistent with, Section 424(a) of the Code.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Waiting Period and Exercise Dates. At the time an Option is granted, the Administrator will fix the period within which the Option may be exercised and will determine any conditions that must be satisfied before the Option may be exercised.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Form of Consideration.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or wire transfer;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net exercise, under which Shares are withheld from otherwise deliverable Shares, in a manner that has been approved by the Board or a Committee; (7) such other consideration and method of payment for the issuance of Shares to the extent permitted by Applicable Laws; or (8) any combination of the foregoing methods of payment.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Exercise of Option.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Procedure for Exercise; Rights as a Stockholder. Any Option granted hereunder will be exercisable according to the terms of the Plan and at such times and under such conditions as determined by the Administrator and set forth in the Award Agreement. Notwithstanding the foregoing, at any time after the grant of an Option, the Administrator, in its sole discretion, may accelerate the time at which the Option will vest or become exercisable. An Option may not be exercised for a fraction of a Share.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 Option will be deemed exercised when the Company receives: (i) notice of exercise (in accordance with the procedures that the Administrator may specify from time to time) from the person entitled to exercise the Option, and (ii) full payment for the Shares with respect to which the Option is exercised (together with any amounts necessary to satisfy withholding obligations for Tax-Related Items). Full payment may consist of any consideration and method of payment authorized by the Administrator and permitted by the Award Agreement and the Plan. Shares issued upon exercise of an Option will be issued in the name of the Participant or, if requested by the Participant and approved by the Administrator,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Exercising an Option in any manner will decrease the number of Shares thereafter available, both for purposes of the Plan and for sale under the Option, by the number of Shares as to which the Option is exercised.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Termination of Relationship as a Service Provider. If a Participant ceases to be a Service Provider, other than upon the cessation of the Participant’s Service Provider status as the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result of the Participant’s death or Disability, the Participant may exercise his or her Option within such period of time as is specified in the Award Agreement to the extent that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three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in the Award Agreement or herein, the Option will terminate, and the Shares covered by such Option will revert to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Disability of Participant. If a Participant ceases to be a Service Provider as a result of the Participant’s Disability, the Participant may exercise his or her Option within such period of time as is specified in the Award Agreement to the extent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12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in the Award Agreement or herein, the Option will terminate, and the Shares covered by such Option will revert to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Death of Participant.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the Administrator has permitted the designation of a beneficiary and provided such beneficiary has been designated prior to the Participant’s death in a form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12 months following the Participant’s death. Unless otherwise provided by the Administrator, if at the time of death, the Participant is not vested as to his or her entire Option, the Shares covered by the unvested portion of the Option will immediately revert to the Plan. If the Option is not so exercised within the time specified in the Award Agreement or herein, the Option will terminate, and the Shares covered by such Option will revert to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Tolling Expiration. A Participant’s Award Agreement may also provide 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exercise of the Option following the cessation of the Participant’s status as a Service Provider (other than upon the Participant’s death or Disability) would result in liability under Section 16(b), then the Option will terminate on the earlier of (A) the expiration of the term of the Option set forth in the Award Agreement, or (B) the 10th day after the last date on which such exercise would result in liability under Section 16(b); or</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30 days after the cessation of the Participant’s status as a Service Provider during which the exercise of the Option would not be in violation of such registration requirements.</w:t>
      </w:r>
    </w:p>
    <w:p>
      <w:pPr>
        <w:pStyle w:val="TextBody"/>
        <w:bidi w:val="0"/>
        <w:spacing w:before="0" w:after="240"/>
        <w:jc w:val="both"/>
        <w:rPr>
          <w:rFonts w:ascii="Times New Roman" w:hAnsi="Times New Roman"/>
          <w:caps/>
          <w:color w:val="000000"/>
          <w:sz w:val="20"/>
        </w:rPr>
      </w:pPr>
      <w:r>
        <w:rPr>
          <w:rFonts w:ascii="Times New Roman" w:hAnsi="Times New Roman"/>
          <w:caps/>
          <w:color w:val="000000"/>
          <w:sz w:val="20"/>
        </w:rPr>
        <w:t>7.</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Restricted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Grant of Restricted Stock. Subject to the terms and provisions of the Plan, the Administrator, at any time and from time to time, may grant Shares of Restricted Stock to Service Providers in such amounts as the Administrator determines in its sole discretion.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Restricted Stock Agreement. Each Award of Restricted Stock will be evidenced by an Award Agreement that will specify any Period of Restriction, the number of Shares granted, and such other terms and conditions as the Administrator determines in its sole discretion. Unless the Administrator determines otherwise, the Company as escrow agent will hold Shares of Restricted Stock until the restrictions on such Shares have lapsed.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Transferability. Except as otherwise provided in this Section 7 or the Award Agreement, Shares of Restricted Stock may not be sold, transferred, pledged, assigned, or otherwise alienated or hypothecated until the end of any applicable Period of Restriction.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Other Restrictions. The Administrator, in its sole discretion, may impose such other restrictions on Shares of Restricted Stock as it may deem advisable or appropriate.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Removal of Restrictions. Except as otherwise provided in this Section 7, Shares of Restricted Stock covered by each Restricted Stock grant made under the Plan will be released from escrow as soon as practicable after the last day of any applicable Period of Restriction or at such other time as the Administrator may determine. Notwithstanding the foregoing, at any time after the grant of Restricted Stock, the Administrator, in its sole discretion, may accelerate the time at which any restrictions will lapse or be removed.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Voting Rights. During any applicable Period of Restriction, Service Providers holding Shares of Restricted Stock granted hereunder may exercise full voting rights with respect to those Shares, unless the Administrator determines otherwise.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Return of Restricted Stock to Company. On the date set forth in the Award Agreement, the Restricted Stock for which restrictions have not lapsed will revert to the Company and again will become available for grant under the Plan.</w:t>
      </w:r>
    </w:p>
    <w:p>
      <w:pPr>
        <w:pStyle w:val="TextBody"/>
        <w:bidi w:val="0"/>
        <w:spacing w:before="0" w:after="240"/>
        <w:jc w:val="both"/>
        <w:rPr>
          <w:rFonts w:ascii="Times New Roman" w:hAnsi="Times New Roman"/>
          <w:caps/>
          <w:color w:val="000000"/>
          <w:sz w:val="20"/>
        </w:rPr>
      </w:pPr>
      <w:r>
        <w:rPr>
          <w:rFonts w:ascii="Times New Roman" w:hAnsi="Times New Roman"/>
          <w:caps/>
          <w:color w:val="000000"/>
          <w:sz w:val="20"/>
        </w:rPr>
        <w:t>8.</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Restricted Stock Units.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Grant.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Restricted Stock Unit Agreement. Each Award of Restricted Stock Units will be evidenced by an Award Agreement that will specify vesting criteria, the number of Restricted Stock Units granted and such other terms and conditions as the Administrator determines in its sole discretion.</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Vesting Criteria and Other Terms.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U.S. or non-U.S. federal or state securities laws or any other basis determined by the Administrator in its discretion.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Earning Restricted Stock Units.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Form and Timing of Payment. Payment of earned Restricted Stock Units will be made as soon as practicable after the date(s) determined by the Administrator and set forth in the Award Agreement. The Administrator, in its sole discretion, may settle earned Restricted Stock Units only in cash, Shares, or a combination of both.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Cancellation. On the date set forth in the Award Agreement, all unearned Restricted Stock Units will be forfeited to the Company.</w:t>
      </w:r>
    </w:p>
    <w:p>
      <w:pPr>
        <w:pStyle w:val="TextBody"/>
        <w:bidi w:val="0"/>
        <w:spacing w:before="0" w:after="240"/>
        <w:jc w:val="both"/>
        <w:rPr>
          <w:rFonts w:ascii="Times New Roman" w:hAnsi="Times New Roman"/>
          <w:caps/>
          <w:color w:val="000000"/>
          <w:sz w:val="20"/>
        </w:rPr>
      </w:pPr>
      <w:r>
        <w:rPr>
          <w:rFonts w:ascii="Times New Roman" w:hAnsi="Times New Roman"/>
          <w:caps/>
          <w:color w:val="000000"/>
          <w:sz w:val="20"/>
        </w:rPr>
        <w:t>9.</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Stock Appreciation Rights.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Grant of Stock Appreciation Rights. Subject to the terms and conditions of the Plan, a Stock Appreciation Right may be granted to Service Providers at any time and from time to time as will be determined by the Administrator, in its sole discretion.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Stock Appreciation Right Agreement. Each Stock Appreciation Right grant will be evidenced by an Award Agreement that will specify the exercise price, the term of the Stock Appreciation Right (which shall not exceed 10 years), the conditions of exercise, and such other terms and conditions as the Administrator determines in its sole discretion. Notwithstanding the foregoing, at any time after the grant of a Stock Appreciation Right, the Administrator, in its sole discretion, may accelerate the time at which the Stock Appreciation Right will vest or become exercisable.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Number of Shares. The Administrator will have complete discretion to determine the number of Stock Appreciation Rights granted to any Service Provider.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Exercise Price and Other Terms. The per share exercise price for the Shares to be issued pursuant to exercise of a Stock Appreciation Right will be determined by the Administrator and will be no less than 100% of the Fair Market Value per Share on the Grant Date. Otherwise, the Administrator, subject to the provisions of the Plan, will have complete discretion to determine the terms and conditions of Stock Appreciation Rights granted under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Expiration of Stock Appreciation Rights. A Stock Appreciation Right granted under the Plan will expire upon the date as determined by the Administrator, in its sole discretion, and set forth in the Award Agreement. Notwithstanding the foregoing, the tolling and expiration rules of Section 6(f) relating to exercise also will apply to Stock Appreciation Rights. Until the Shares are issued (as evidenced by the appropriate entry on the books of the Company or of a duly authorized transfer agent of the Company), no right to vote or receive dividends or any other rights as a stockholder will exist with respect to the Shares subject to a Stock Appreciation Right, notwithstanding the exercise of the Stock Appreciation Right. The Company will issue (or cause to be issued) such Shares promptly after the Stock Appreciation Right is exercised. No adjustment will be made for a dividend or other right for which the record date is prior to the date the Stock Appreciation Rights are issued, except as provided in Section 14 of the Plan.</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Payment of Stock Appreciation Right Amount. Upon exercise of a Stock Appreciation Right, a Participant will be entitled to receive payment from the Company in an amount determined as the product 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difference between the Fair Market Value of a Share on the date of exercise over the exercise price;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number of Shares with respect to which the Stock Appreciation Right is exercised.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At the discretion of the Administrator, the payment upon exercise of a Stock Appreciation Right may be in cash, in Shares of equivalent value or in some combination of both.</w:t>
      </w:r>
    </w:p>
    <w:p>
      <w:pPr>
        <w:pStyle w:val="TextBody"/>
        <w:bidi w:val="0"/>
        <w:spacing w:before="0" w:after="240"/>
        <w:jc w:val="both"/>
        <w:rPr>
          <w:rFonts w:ascii="Times New Roman" w:hAnsi="Times New Roman"/>
          <w:caps/>
          <w:color w:val="000000"/>
          <w:sz w:val="20"/>
        </w:rPr>
      </w:pPr>
      <w:r>
        <w:rPr>
          <w:rFonts w:ascii="Times New Roman" w:hAnsi="Times New Roman"/>
          <w:caps/>
          <w:color w:val="000000"/>
          <w:sz w:val="20"/>
        </w:rPr>
        <w:t>10.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Performance Units and Performance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Grant of Performance Units/Shares.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Value of Performance Units/Shares. Each Performance Unit will have an initial value that is established by the Administrator on or before the Grant Date. Each Performance Share will have an initial value equal to the Fair Market Value of a Share on the Grant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Performance Objectives and Other Terms.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determines in its sole discretion. The Administrator may set performance objectives based upon the achievement of Company-wide, divisional, business unit or individual goals (including, but not limited to, continued employment or service), applicable U.S. or non-U.S. federal or state securities laws, or any other basis determined by the Administrator in its discretion.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Earning of Performance Units/Shares.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Notwithstanding the foregoing, at any time after the grant of a Performance Unit/Share, the Administrator, in its sole discretion, may reduce or waive any performance objectives or other vesting provisions for such Performance Unit/Share.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Form and Timing of Payment of Performance Units/Shares.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Cancellation of Performance Units/Shares. On the date set forth in the Award Agreement, all unearned or unvested Performance Units/Shares will be forfeited to the Company, and again will be available for grant under the Plan.</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aps/>
          <w:color w:val="000000"/>
          <w:sz w:val="20"/>
        </w:rPr>
      </w:pPr>
      <w:r>
        <w:rPr>
          <w:rFonts w:ascii="Times New Roman" w:hAnsi="Times New Roman"/>
          <w:caps/>
          <w:color w:val="000000"/>
          <w:sz w:val="20"/>
        </w:rPr>
        <w:t>11.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Award Limitations.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Outside Director Award Limitations. No Outside Director may be paid compensation for service as an Outside Director in their capacity as a Director, that, in the aggregate, exceeds $400,000, increased to $800,000 for such Outside Director for the Fiscal Year in which he or she joins the Board as an Outside Director. Compensation includes equity awards, including any Awards issued under this Plan, the value of which will be based on their grant date fair value determined in accordance with U.S. generally accepted accounting principles and any other compensation (including without limitation any cash retainers or fees). Any Awards or other compensation paid or provided to an individual for his or her services as an Employee, or for his or her services as a Consultant (other than as an Outside Director), will not count for purposes of the limitation under this Section 11(a).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Dividends and Other Distributions. No dividends or other distributions shall be paid with respect to any Shares underlying any unvested portion of an Award.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Minimum Vesting Requirements. Notwithstanding any other provision of the Plan to the contrary, Awards granted under the Plan that are payable in Shares shall vest no earlier than the first anniversary of the date on which the Award was granted (or the date of commencement of employment or service, in the case of a grant made in connection with a Participant’s commencement of employment or service); provided, that the foregoing minimum vesting requirement does not apply to: (i) Substituted Awards, (ii) Shares delivered in lieu of fully vested cash-based obligations, (iii) Awards granted to Outside Directors that are not covered by clause (ii) above and that vest on the earlier of the one-year anniversary of the date on which the Award was granted and the next annual meeting of stockholders and (iv) Awards with respect to a maximum of 5% of the maximum number of Shares that may be granted under the Plan pursuant to Section 3(a) (subject to adjustment under Section 14). Notwithstanding the foregoing minimum vesting requirement, the Administrator may, in its discretion, provide for accelerated vesting or exercisability of an Award, in connection with a Participant’s retirement, death, Disability or in connection with or following a Change in Control, in the terms of an Award Agreement or otherwise.</w:t>
      </w:r>
    </w:p>
    <w:p>
      <w:pPr>
        <w:pStyle w:val="TextBody"/>
        <w:bidi w:val="0"/>
        <w:spacing w:before="0" w:after="240"/>
        <w:jc w:val="both"/>
        <w:rPr>
          <w:rFonts w:ascii="Times New Roman" w:hAnsi="Times New Roman"/>
          <w:caps/>
          <w:color w:val="000000"/>
          <w:sz w:val="20"/>
        </w:rPr>
      </w:pPr>
      <w:r>
        <w:rPr>
          <w:rFonts w:ascii="Times New Roman" w:hAnsi="Times New Roman"/>
          <w:caps/>
          <w:color w:val="000000"/>
          <w:sz w:val="20"/>
        </w:rPr>
        <w:t>12.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Leaves of Absence/Transfer Between Locations. Unless the Administrator provides otherwise or Applicable Laws require otherwise, vesting of Awards will be suspended during any unpaid leave of absence. A Participant will not cease to be an Employee in the case of (i) any leave of absence approved by the Company or the Participant’s employer or (ii) transfers between locations of the Company or between the Company, its Parent or any of its Subsidiaries. For purposes of Incentive Stock Options, no such leave may exceed three months, unless reemployment upon expiration of such leave is guaranteed by statute or contract. If reemployment upon expiration of a leave of absence approved by the Company or the Participant’s employer is not so guaranteed, then six months following the first day of such leave any Incentive Stock Option held by the Participant will cease to be treated as an Incentive Stock Option and will be treated for tax purposes as a Nonstatutory Stock Option.</w:t>
      </w:r>
    </w:p>
    <w:p>
      <w:pPr>
        <w:pStyle w:val="TextBody"/>
        <w:bidi w:val="0"/>
        <w:spacing w:before="0" w:after="240"/>
        <w:jc w:val="both"/>
        <w:rPr>
          <w:rFonts w:ascii="Times New Roman" w:hAnsi="Times New Roman"/>
          <w:caps/>
          <w:color w:val="000000"/>
          <w:sz w:val="20"/>
        </w:rPr>
      </w:pPr>
      <w:r>
        <w:rPr>
          <w:rFonts w:ascii="Times New Roman" w:hAnsi="Times New Roman"/>
          <w:caps/>
          <w:color w:val="000000"/>
          <w:sz w:val="20"/>
        </w:rPr>
        <w:t>13.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Transferability of Awards.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General Rule. Unless determined otherwise by the Administrator, or otherwise required by Applicable Laws,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the Award will be limited by any additional terms and conditions imposed by the Administrator. Any unauthorized transfer of an Award will be void.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Domestic Relations Orders. If approved by the Administrator, an Award may be transferred pursuant to the terms of a domestic relations order, official marital settlement agreement or other divorce or separation instrument as permitted by Treasury Regulations Section 1.421-1(b)(2). An Incentive Stock Option may be deemed to be a Nonstatutory Stock Option as a result of such transfer.</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Limited Transfers for the Benefit of Family Members. The Administrator may permit an Award or Share issued under this Plan to be assigned or transferred subject to the applicable limitations, set forth in the General Instructions to Form S</w:t>
        <w:noBreakHyphen/>
        <w:t>8 Registration Statement under the Securities Act, if applicable, and any other Applicable Laws. For the avoidance of doubt, no Award may be assigned or transferred to a third-party financial institution.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Permitted Transferees. Any individual or entity to whom an Award is transferred will be subject to all of the terms and conditions applicable to the Participant who transferred the Award, including the terms and conditions in this Plan and the Award Agreement. If an Award is unvested, then the service of the Participant will continue to determine whether the Award will vest and when it will terminate.</w:t>
      </w:r>
    </w:p>
    <w:p>
      <w:pPr>
        <w:pStyle w:val="TextBody"/>
        <w:bidi w:val="0"/>
        <w:spacing w:before="0" w:after="240"/>
        <w:jc w:val="both"/>
        <w:rPr>
          <w:rFonts w:ascii="Times New Roman" w:hAnsi="Times New Roman"/>
          <w:caps/>
          <w:color w:val="000000"/>
          <w:sz w:val="20"/>
        </w:rPr>
      </w:pPr>
      <w:r>
        <w:rPr>
          <w:rFonts w:ascii="Times New Roman" w:hAnsi="Times New Roman"/>
          <w:caps/>
          <w:color w:val="000000"/>
          <w:sz w:val="20"/>
        </w:rPr>
        <w:t>14.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Adjustments; Dissolution or Liquidation; Merger or Change in Control.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Adjustments. In the event that any extraordinary dividend or other extraordinary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the numerical Share limits in Section 3 of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Dissolution or Liquidation. In the event of a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Merger or Change in Control.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each Award be assumed or an equivalent option or right substituted by the successor corporation or its Parent. The Administrator will not be obligated to treat all Awards, all Awards held by a Participant, all Awards of the same type or all portions of Awards, similarly.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an Option or Stock Appreciation Right (or portion thereof) is not assumed or substituted for in the event of a merger or Change in Control, the Administrator will notify the Participant in writing or electronically that such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the purposes of this Section 14(c),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Award, to be solely common stock of the successor corporation or its Parent equal in fair market value to the per share consideration received by holders of Common Stock in the merger or Change in Control.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anything in this Section 14(c) to the contrary, and unless otherwise provided in an Award Agreement or other written agreement between the Participant and the Company or any of its Subsidiaries or Parents, as applicable,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w:t>
        <w:noBreakHyphen/>
        <w:t>Change in Control corporate structure will not be deemed to invalidate an otherwise valid Award assumption.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anything in this Section 14(c) to the contrary, if a payment under an Award Agreement is subject to Section 409A and if the change in control definition contained in the Award Agreement or other written agreement related to the Award does not comply with the definition of “change in control” for purposes of a distribution under Section 409A, then any payment of an amount that otherwise is accelerated under this Section will be delayed until the earliest time that such payment would be permissible under Section 409A without triggering any penalties applicable under Section 409A.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Outside Director Awards. With respect to Awards granted to Outside Directors for their service as Outside Directors, in the event of a Change in Control, such Participants will fully vest in and have the right to exercise Options and/or Stock Appreciation Rights as to all of the Shares underlying such Awards, including those Shares which would not be vested or exercisable, all restrictions on such Participants’ Restricted Stock and Restricted Stock Units will lapse, and, with respect to such Participants’ Awards with performance-based vesting, all performance goals or other vesting criteria will be deemed achieved at 100% of target levels and all other terms and conditions met, unless specifically provided otherwise under the applicable Award Agreements or other written agreements between the Participants and the Company or any of its Subsidiaries or Parents, as applicable.</w:t>
      </w:r>
    </w:p>
    <w:p>
      <w:pPr>
        <w:pStyle w:val="TextBody"/>
        <w:bidi w:val="0"/>
        <w:spacing w:before="0" w:after="240"/>
        <w:jc w:val="both"/>
        <w:rPr>
          <w:rFonts w:ascii="Times New Roman" w:hAnsi="Times New Roman"/>
          <w:caps/>
          <w:color w:val="000000"/>
          <w:sz w:val="20"/>
        </w:rPr>
      </w:pPr>
      <w:r>
        <w:rPr>
          <w:rFonts w:ascii="Times New Roman" w:hAnsi="Times New Roman"/>
          <w:caps/>
          <w:color w:val="000000"/>
          <w:sz w:val="20"/>
        </w:rPr>
        <w:t>15.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Tax Matters.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Withholding Requirements. Prior to the delivery of any Shares or cash pursuant to an Award (or exercise thereof) or such earlier time as any withholding obligations for Tax-Related Items are due, the Company (or any of its Subsidiaries, Parents or affiliates employing or retaining the services of a Participant, as applicable) will have the power and the right to deduct or withhold, or require a Participant to remit to the Company (or any of its Subsidiaries, Parents or affiliates, as applicable), an amount sufficient to satisfy any Tax-Related Items required to be withheld with respect to such Award (or exercise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Withholding Arrangements. The Administrator, in its sole discretion and pursuant to such procedures as it may specify from time to time, may permit a Participant to satisfy such withholding obligation for Tax-Related Items, in whole or in part by (without limitation) (i) paying cash, check or other cash equivalents, (ii) electing to have the Company withhold otherwise deliverable Shares having a fair market value equal to the minimum statutory amount applicable in a Participant’s jurisdiction or such greater amount as the Administrator may determine (including up to a maximum statutory amount) if such amount would not have adverse accounting consequences, as the Administrator determines in its sole discretion, (iii) delivering to the Company already-owned Shares having a fair market value equal to the minimum statutory amount applicable in a Participant’s jurisdiction or such greater amount as the Administrator may determine (including up to a maximum statutory amount), in each case, provided the delivery of such Shares will not result in any adverse accounting consequences, as the Administrator determines in its sole discretion, (iv) selling a sufficient number of Shares otherwise deliverable to the Participant through such means as the Administrator may determine in its sole discretion (whether through a broker or otherwise) to cover the amount of the withholding obligation for Tax-Related Items, (v) having the Company or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Parent or Subsidiary withhold from wages or any other cash amount due or to become due to the Participant and payable by the Company or any Parent or Subsidiary, (vi) any other method of withholding determined by the Administrator or (vii) any combination of the foregoing methods of payment. The withholding amount will be deemed to include any amount which the Administrator agrees may be withheld at the time the election is made, not to exceed the amount determined by using the maximum statutory rates applicable in a Participant’s jurisdiction with respect to the Award on the date that the amount of Tax-Related Items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amount of Tax-Related Items to be withheld is calculated.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Compliance With Section 409A.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meet the requirements of Section 409A, or be exempt therefrom, and will be construed and interpreted in accordance with such intent,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Subsidiaries or Parents have any obligation or liability under the terms of this Plan to reimburse, indemnify, or hold harmless any Participant or any other person in respect of Awards, for any taxes, interest or penalties imposed, or other costs incurred, as a result of Section 409A.</w:t>
      </w:r>
    </w:p>
    <w:p>
      <w:pPr>
        <w:pStyle w:val="TextBody"/>
        <w:bidi w:val="0"/>
        <w:spacing w:before="0" w:after="240"/>
        <w:jc w:val="both"/>
        <w:rPr>
          <w:rFonts w:ascii="Times New Roman" w:hAnsi="Times New Roman"/>
          <w:caps/>
          <w:color w:val="000000"/>
          <w:sz w:val="20"/>
        </w:rPr>
      </w:pPr>
      <w:r>
        <w:rPr>
          <w:rFonts w:ascii="Times New Roman" w:hAnsi="Times New Roman"/>
          <w:caps/>
          <w:color w:val="000000"/>
          <w:sz w:val="20"/>
        </w:rPr>
        <w:t>16.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Miscellaneous.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Stockholder Approval and Term of Plan. The Plan became effective on October 12, 2022. The Plan will continue in effect until terminated earlier under Section 17 of the Plan, but no Incentive Stock Options may be granted after 10 years from the date the Plan is adopted by the Board.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Legal Compliance. Shares will not be issued pursuant to an Award unless the exercise or vesting of such Award and the issuance and delivery of such Shares will comply with Applicable Laws and will be further subject to the approval of counsel for the Company with respect to such compliance.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Investment Representations.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Inability to Obtain Authority. If the Company determines it to be impossible or impracticable to obtain authority from any regulatory body having jurisdiction or to complete or comply with the requirements of any registration or other qualification of the Shares under any U.S. state or federal law or non-U.S.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Effect on Employment or Service. Neither the Plan nor any Award will confer upon a Participant any right with respect to continuing the Participant’s relationship as a Service Provider, nor interfere in any way with the Participant’s right or the right of the Company and its Subsidiaries or Parents, as applicable, to terminate such relationship at any time, with or without cause, to the extent permitted by Applicable 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Forfeiture Events. The Administrator may specify in an Award Agreement that the Participant’s rights, payments and benefits with respect to an Award will be subject to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and any other compensation paid or payable to a Participant (including, but not limited to, equity awards issued outside of this Plan) (such compensation, “Other Compensation”) will be subject to the Company’s clawback policy in effect as of the adoption of this Plan, and will be subject to any other clawback policy of the Company as may be established and/or amended from time to time to comply with Applicable Laws (including without limitation pursuant to the listing standards of any national securities exchange or association on which the Company’s securities are listed or as may be required by the U.S. Dodd-Frank Wall Street Reform and Consumer Protection Act) (the “Clawback Policy”). The Administrator may require a Participant to forfeit, return or reimburse the Company all or a portion of the Award or Other Compensation and any amounts paid thereunder pursuant to the terms of the Clawback Policy or as necessary or appropriate to comply with Applicable Laws. Unless this subsection (f)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w:t>
      </w:r>
    </w:p>
    <w:p>
      <w:pPr>
        <w:pStyle w:val="TextBody"/>
        <w:bidi w:val="0"/>
        <w:spacing w:before="0" w:after="240"/>
        <w:jc w:val="both"/>
        <w:rPr>
          <w:rFonts w:ascii="Times New Roman" w:hAnsi="Times New Roman"/>
          <w:caps/>
          <w:color w:val="000000"/>
          <w:sz w:val="20"/>
        </w:rPr>
      </w:pPr>
      <w:r>
        <w:rPr>
          <w:rFonts w:ascii="Times New Roman" w:hAnsi="Times New Roman"/>
          <w:caps/>
          <w:color w:val="000000"/>
          <w:sz w:val="20"/>
        </w:rPr>
        <w:t>17.</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Amendment and Termination of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Amendment and Termination. The Administrator, at any time, may amend, alter, suspend or terminate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Stockholder Approval. The Company will obtain stockholder approval of any Plan amendment to the extent necessary and desirable to comply with Applicable 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Consent of Participants Generally Required. Subject to Section 17(d) below, no amendment, alteration, suspension or termination of the Plan or an Award under it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regarding Awards granted under the Plan prior to such termination.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Exceptions to Consent Requirement.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Participant’s rights will not be deemed to have been impaired by any amendment, alteration, suspension or termination if the Administrator, in its sole discretion, determines that the amendment, alteration, suspension or termination taken as a whole, does not materially impair the Participant’s rights,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the limitations of Applicable Laws, if any, the Administrator may amend the terms of any one or more Awards without the affected Participant’s consent even if it does materially impair the Participant’s right if such amendment is done: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 manner expressly permitted under the Plan;</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maintain the qualified status of the Award as an Incentive Stock Option under Section 422 of the Code;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change the terms of an Incentive Stock Option, if such change results in impairment of the Award only because it impairs the qualified status of the Award as an Incentive Stock Option under Section 422 of the Code;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clarify the manner of exemption from, or to bring the Award into compliance with, Section 409A;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comply with other Applicable Laws.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12370</Words>
  <Characters>64510</Characters>
  <CharactersWithSpaces>76470</CharactersWithSpaces>
  <Paragraphs>599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