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34319d8k.htm"/>
      <w:bookmarkStart w:id="1" w:name="ksd134319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60" w:after="0"/>
        <w:jc w:val="center"/>
        <w:rPr>
          <w:rFonts w:ascii="Times New Roman" w:hAnsi="Times New Roman"/>
          <w:b/>
          <w:sz w:val="24"/>
        </w:rPr>
      </w:pPr>
      <w:r>
        <w:rPr>
          <w:rFonts w:ascii="Times New Roman" w:hAnsi="Times New Roman"/>
          <w:b/>
          <w:sz w:val="24"/>
        </w:rPr>
        <w:t>Date of Report (Date of earliest event reported): July 16,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48"/>
        </w:rPr>
      </w:pPr>
      <w:r>
        <w:rPr>
          <w:rFonts w:ascii="Times New Roman" w:hAnsi="Times New Roman"/>
          <w:b/>
          <w:sz w:val="48"/>
        </w:rPr>
        <w:t xml:space="preserve">VIVOSIM LABS,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0"/>
        </w:rPr>
      </w:pPr>
      <w:r>
        <w:rPr>
          <w:rFonts w:ascii="Times New Roman" w:hAnsi="Times New Roman"/>
          <w:b/>
          <w:sz w:val="20"/>
        </w:rPr>
        <w:t>Commission File Number: 001-35996</w:t>
      </w:r>
    </w:p>
    <w:p>
      <w:pPr>
        <w:pStyle w:val="TextBody"/>
        <w:bidi w:val="0"/>
        <w:spacing w:before="0" w:after="0"/>
        <w:jc w:val="left"/>
        <w:rPr/>
      </w:pPr>
      <w:r>
        <w:rPr/>
        <w:t> </w:t>
      </w:r>
    </w:p>
    <w:tbl>
      <w:tblPr>
        <w:tblW w:w="3415" w:type="dxa"/>
        <w:jc w:val="left"/>
        <w:tblInd w:w="0" w:type="dxa"/>
        <w:tblLayout w:type="fixed"/>
        <w:tblCellMar>
          <w:top w:w="0" w:type="dxa"/>
          <w:left w:w="0" w:type="dxa"/>
          <w:bottom w:w="0" w:type="dxa"/>
          <w:right w:w="0" w:type="dxa"/>
        </w:tblCellMar>
      </w:tblPr>
      <w:tblGrid>
        <w:gridCol w:w="198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27-1488943</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160" w:after="0"/>
        <w:jc w:val="center"/>
        <w:rPr>
          <w:rFonts w:ascii="Times New Roman" w:hAnsi="Times New Roman"/>
          <w:b/>
          <w:sz w:val="20"/>
        </w:rPr>
      </w:pPr>
      <w:r>
        <w:rPr>
          <w:rFonts w:ascii="Times New Roman" w:hAnsi="Times New Roman"/>
          <w:b/>
          <w:sz w:val="20"/>
        </w:rPr>
        <w:t>11555 Sorrento Valley Road, Suite 100</w:t>
      </w:r>
    </w:p>
    <w:p>
      <w:pPr>
        <w:pStyle w:val="TextBody"/>
        <w:bidi w:val="0"/>
        <w:spacing w:before="0" w:after="0"/>
        <w:jc w:val="center"/>
        <w:rPr>
          <w:rFonts w:ascii="Times New Roman" w:hAnsi="Times New Roman"/>
          <w:b/>
          <w:sz w:val="20"/>
        </w:rPr>
      </w:pPr>
      <w:r>
        <w:rPr>
          <w:rFonts w:ascii="Times New Roman" w:hAnsi="Times New Roman"/>
          <w:b/>
          <w:sz w:val="20"/>
        </w:rPr>
        <w:t>San Diego, CA 92121</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including zip code)</w:t>
      </w:r>
    </w:p>
    <w:p>
      <w:pPr>
        <w:pStyle w:val="TextBody"/>
        <w:bidi w:val="0"/>
        <w:spacing w:before="160" w:after="0"/>
        <w:jc w:val="center"/>
        <w:rPr>
          <w:rFonts w:ascii="Times New Roman" w:hAnsi="Times New Roman"/>
          <w:b/>
          <w:sz w:val="20"/>
        </w:rPr>
      </w:pPr>
      <w:r>
        <w:rPr>
          <w:rFonts w:ascii="Times New Roman" w:hAnsi="Times New Roman"/>
          <w:b/>
          <w:sz w:val="20"/>
        </w:rPr>
        <w:t>(858) 224-1000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0" w:after="0"/>
        <w:jc w:val="left"/>
        <w:rPr/>
      </w:pPr>
      <w:r>
        <w:rPr/>
        <w:t> </w:t>
      </w:r>
    </w:p>
    <w:p>
      <w:pPr>
        <w:pStyle w:val="TextBody"/>
        <w:bidi w:val="0"/>
        <w:spacing w:before="16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6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170" w:type="dxa"/>
        <w:jc w:val="left"/>
        <w:tblInd w:w="0" w:type="dxa"/>
        <w:tblLayout w:type="fixed"/>
        <w:tblCellMar>
          <w:top w:w="0" w:type="dxa"/>
          <w:left w:w="0" w:type="dxa"/>
          <w:bottom w:w="0" w:type="dxa"/>
          <w:right w:w="0" w:type="dxa"/>
        </w:tblCellMar>
      </w:tblPr>
      <w:tblGrid>
        <w:gridCol w:w="3230"/>
        <w:gridCol w:w="60"/>
        <w:gridCol w:w="770"/>
        <w:gridCol w:w="60"/>
        <w:gridCol w:w="3050"/>
      </w:tblGrid>
      <w:tr>
        <w:trPr/>
        <w:tc>
          <w:tcPr>
            <w:tcW w:w="3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323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7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3230" w:type="dxa"/>
            <w:tcBorders/>
            <w:vAlign w:val="center"/>
          </w:tcPr>
          <w:p>
            <w:pPr>
              <w:pStyle w:val="TableContents"/>
              <w:bidi w:val="0"/>
              <w:spacing w:before="0" w:after="283"/>
              <w:jc w:val="center"/>
              <w:rPr/>
            </w:pPr>
            <w:r>
              <w:rPr/>
              <w:t>Common Stock, $0.001 par value</w:t>
            </w:r>
          </w:p>
        </w:tc>
        <w:tc>
          <w:tcPr>
            <w:tcW w:w="6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center"/>
              <w:rPr/>
            </w:pPr>
            <w:r>
              <w:rPr/>
              <w:t>VIVS</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bl>
    <w:p>
      <w:pPr>
        <w:pStyle w:val="TextBody"/>
        <w:bidi w:val="0"/>
        <w:spacing w:before="16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(17 CFR §230.405) or Rule 12b-2 of the Securities Exchange Act of 1934 (17 CFR §240.12b-2). Emerging growth company ☐</w:t>
      </w:r>
    </w:p>
    <w:p>
      <w:pPr>
        <w:pStyle w:val="TextBody"/>
        <w:bidi w:val="0"/>
        <w:spacing w:before="16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4750" w:type="dxa"/>
        <w:jc w:val="left"/>
        <w:tblInd w:w="0" w:type="dxa"/>
        <w:tblLayout w:type="fixed"/>
        <w:tblCellMar>
          <w:top w:w="0" w:type="dxa"/>
          <w:left w:w="0" w:type="dxa"/>
          <w:bottom w:w="0" w:type="dxa"/>
          <w:right w:w="0" w:type="dxa"/>
        </w:tblCellMar>
      </w:tblPr>
      <w:tblGrid>
        <w:gridCol w:w="965"/>
        <w:gridCol w:w="3785"/>
      </w:tblGrid>
      <w:tr>
        <w:trPr/>
        <w:tc>
          <w:tcPr>
            <w:tcW w:w="965" w:type="dxa"/>
            <w:tcBorders/>
            <w:vAlign w:val="center"/>
          </w:tcPr>
          <w:p>
            <w:pPr>
              <w:pStyle w:val="TableContents"/>
              <w:bidi w:val="0"/>
              <w:spacing w:before="0" w:after="283"/>
              <w:jc w:val="left"/>
              <w:rPr>
                <w:b/>
              </w:rPr>
            </w:pPr>
            <w:r>
              <w:rPr>
                <w:b/>
              </w:rPr>
              <w:t>Item 1.01</w:t>
            </w:r>
          </w:p>
        </w:tc>
        <w:tc>
          <w:tcPr>
            <w:tcW w:w="37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Securities Purchase Agreement and Warrants </w:t>
      </w:r>
    </w:p>
    <w:p>
      <w:pPr>
        <w:pStyle w:val="TextBody"/>
        <w:bidi w:val="0"/>
        <w:spacing w:before="120" w:after="0"/>
        <w:jc w:val="left"/>
        <w:rPr>
          <w:rFonts w:ascii="Times New Roman" w:hAnsi="Times New Roman"/>
          <w:sz w:val="20"/>
        </w:rPr>
      </w:pPr>
      <w:r>
        <w:rPr>
          <w:rFonts w:ascii="Times New Roman" w:hAnsi="Times New Roman"/>
          <w:sz w:val="20"/>
        </w:rPr>
        <w:t xml:space="preserve">On July 16, 2026, VivoSim Labs, Inc. (the “Company”) entered into a Securities Purchase Agreement (the “Purchase Agreement”) with an accredited institutional investor (the “Purchaser”), pursuant to which, among other things, the Company agreed to issue and sell to the Purchaser, in a private placement transaction (the “Private Placement”), (i) pre-funded warrants (the “Pre-Funded Warrants”) to purchase up to an aggregate of 4,705,883 shares of the Company’s common stock, par value $0.001 per share (the “Common Stock”), and (ii) accompanying warrants to purchase up to an aggregate of 4,705,883 shares of Common Stock (the “Common Warrants”, and collectively with the Pre-Funded Warrants, the “Warrants”), at the combined purchase price of $0.85 per share of Common Stock subject to the Pre-Funded Warrants and accompanying Common Warrant, for gross proceeds of approximately $4.0 million, before deducting placement agent fees and other offering expenses. The closing of the Private Placement is expected to occur on or about July 17, 2026. The Company intends to use the proceeds from the Private Placement for working capital and general corporate purposes. </w:t>
      </w:r>
    </w:p>
    <w:p>
      <w:pPr>
        <w:pStyle w:val="TextBody"/>
        <w:bidi w:val="0"/>
        <w:spacing w:before="240" w:after="0"/>
        <w:jc w:val="left"/>
        <w:rPr>
          <w:rFonts w:ascii="Times New Roman" w:hAnsi="Times New Roman"/>
          <w:sz w:val="20"/>
        </w:rPr>
      </w:pPr>
      <w:r>
        <w:rPr>
          <w:rFonts w:ascii="Times New Roman" w:hAnsi="Times New Roman"/>
          <w:sz w:val="20"/>
        </w:rPr>
        <w:t xml:space="preserve">The Purchase Agreement contains customary representations, warranties and agreements of the Company and the Purchaser, customary conditions to closing, indemnification obligations of the Company, other obligations of the parties and termination provisions. In addition, the Company has agreed, subject to certain exceptions, not to enter into any agreement to issue or announce the issuance or proposed issuance of any Common Stock or Common Stock equivalents from the date of the Purchase Agreement until 60 days after the date the registration statement covering the resale by the Purchaser of the shares of Common Stock issuable upon exercise of the Warrants (the “Warrant Shares”) is declared effective. </w:t>
      </w:r>
    </w:p>
    <w:p>
      <w:pPr>
        <w:pStyle w:val="TextBody"/>
        <w:bidi w:val="0"/>
        <w:spacing w:before="240" w:after="0"/>
        <w:jc w:val="left"/>
        <w:rPr>
          <w:rFonts w:ascii="Times New Roman" w:hAnsi="Times New Roman"/>
          <w:sz w:val="20"/>
        </w:rPr>
      </w:pPr>
      <w:r>
        <w:rPr>
          <w:rFonts w:ascii="Times New Roman" w:hAnsi="Times New Roman"/>
          <w:sz w:val="20"/>
        </w:rPr>
        <w:t xml:space="preserve">Each Pre-Funded Warrant has an exercise price of $0.001 per share of Common Stock, subject to adjustment for stock splits, reverse stock splits, stock dividends and similar transactions, is exercisable immediately upon issuance and will survive until it is exercised in full. Each Pre-Funded Warrant will be exercisable on a cash or cashless exercise basis. </w:t>
      </w:r>
    </w:p>
    <w:p>
      <w:pPr>
        <w:pStyle w:val="TextBody"/>
        <w:bidi w:val="0"/>
        <w:spacing w:before="240" w:after="0"/>
        <w:jc w:val="left"/>
        <w:rPr>
          <w:rFonts w:ascii="Times New Roman" w:hAnsi="Times New Roman"/>
          <w:sz w:val="20"/>
        </w:rPr>
      </w:pPr>
      <w:r>
        <w:rPr>
          <w:rFonts w:ascii="Times New Roman" w:hAnsi="Times New Roman"/>
          <w:sz w:val="20"/>
        </w:rPr>
        <w:t xml:space="preserve">Each Common Warrant has an exercise price of $0.85 per share of Common Stock, subject to adjustment for stock splits, reverse stock splits, stock dividends and similar transactions, will be exercisable at any time on or after the date the Company obtains stockholder approval with respect to the Common Warrants, for a period of five years thereafter. Each Common Warrant is exercisable on a cash basis unless, at the time of such exercise, the Warrant Shares underlying such Common Warrant cannot be immediately resold pursuant to an effective registration statement, in which case such Common Warrant will also be exercisable on a cashless exercise basis. </w:t>
      </w:r>
    </w:p>
    <w:p>
      <w:pPr>
        <w:pStyle w:val="TextBody"/>
        <w:bidi w:val="0"/>
        <w:spacing w:before="240" w:after="0"/>
        <w:jc w:val="left"/>
        <w:rPr>
          <w:rFonts w:ascii="Times New Roman" w:hAnsi="Times New Roman"/>
          <w:sz w:val="20"/>
        </w:rPr>
      </w:pPr>
      <w:r>
        <w:rPr>
          <w:rFonts w:ascii="Times New Roman" w:hAnsi="Times New Roman"/>
          <w:sz w:val="20"/>
        </w:rPr>
        <w:t>Under the terms of the Warrants, the Company may not effect the exercise of any such Warrant, and a holder will not be entitled to exercise any portion of any such Warrant, if, upon giving effect to such exercise, the aggregate number of shares of Common Stock beneficially owned by the holder (together with its affiliates) would exceed 9.99% for the Pre-Funded Warrants, or 4.99% for the Common Warrants, of the number of shares of Common Stock outstanding immediately after giving effect to the exercise, as such percentage ownership is determined in accordance with the terms of such Warrant, which percentage may be increased or decreased at the holder’s election upon 61 days’ notice to the Company, subject to the terms of such Warrants, </w:t>
      </w:r>
      <w:r>
        <w:rPr>
          <w:rFonts w:ascii="Times New Roman" w:hAnsi="Times New Roman"/>
          <w:i/>
          <w:sz w:val="20"/>
        </w:rPr>
        <w:t>provided that</w:t>
      </w:r>
      <w:r>
        <w:rPr>
          <w:rFonts w:ascii="Times New Roman" w:hAnsi="Times New Roman"/>
          <w:sz w:val="20"/>
        </w:rPr>
        <w:t xml:space="preserve"> such percentage may in no event exceed 9.99%. </w:t>
      </w:r>
    </w:p>
    <w:p>
      <w:pPr>
        <w:pStyle w:val="TextBody"/>
        <w:bidi w:val="0"/>
        <w:spacing w:before="360" w:after="0"/>
        <w:jc w:val="left"/>
        <w:rPr>
          <w:rFonts w:ascii="Times New Roman" w:hAnsi="Times New Roman"/>
          <w:i/>
          <w:sz w:val="20"/>
        </w:rPr>
      </w:pPr>
      <w:r>
        <w:rPr>
          <w:rFonts w:ascii="Times New Roman" w:hAnsi="Times New Roman"/>
          <w:i/>
          <w:sz w:val="20"/>
        </w:rPr>
        <w:t xml:space="preserve">Placement Agency Agreement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Private Placement, on July 16, 2026, the Company also entered into a placement agency agreement (the “Placement Agency Agreement”) with A.G.P./Alliance Global Partners (the “Placement Agent”). Pursuant to the Placement Agency Agreement, the Company agreed to pay to the Placement Agent a cash fee equal to 6.50% of the gross proceeds of the Private Placement. </w:t>
      </w:r>
    </w:p>
    <w:p>
      <w:pPr>
        <w:pStyle w:val="TextBody"/>
        <w:bidi w:val="0"/>
        <w:spacing w:before="360" w:after="0"/>
        <w:jc w:val="left"/>
        <w:rPr>
          <w:rFonts w:ascii="Times New Roman" w:hAnsi="Times New Roman"/>
          <w:i/>
          <w:sz w:val="20"/>
        </w:rPr>
      </w:pPr>
      <w:r>
        <w:rPr>
          <w:rFonts w:ascii="Times New Roman" w:hAnsi="Times New Roman"/>
          <w:i/>
          <w:sz w:val="20"/>
        </w:rPr>
        <w:t xml:space="preserve">Armistice Warrant Amendment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Private Placement, on July 16, 2026, the Company also entered into an amendment (the “Armistice Warrant Amendment”) to those certain Common Stock Purchase Warrants, each dated May 13, 2024, issued by the Company to Armistice Capital Master Fund Ltd. (the “Armistice Warrants”), to, among other things, amend the date of termination and the exercise price of the Armistice Warrants to be 5 years after the date the Company obtains stockholder approval with respect to the Armistice Warrants and underlying shares of Common Stock and $0.85 per share of Common Stock, respectively, and amend certain provisions relating to the treatment of the warrants upon a Fundamental Transaction (as defined in the Armistice Warrants).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summaries of the Purchase Agreement, the form of Pre-Funded Warrant, the form of Common Warrant, the Placement Agency Agreement and the Armistice Warrant Amendment do not purport to be complete and are qualified in their entirety by reference to the full texts of the Purchase Agreement, the form of Pre-Funded Warrant, the form of Common Warrant, the Placement Agency Agreement and the Armistice Warrant Amendment, which are filed herewith as Exhibits 10.1, 4.1, 4.2, 10.2 and 4.3, respectively.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representations, warranties and covenants contained in the Purchase Agreement, the Warrants, the Placement Agency Agreement and the Armistice Warrant Amendment were made only for purposes of such agreements and as of specific dates, were solely for the benefit of the contracting parties, and may be subject to limitations agreed upon by the contracting parties and are qualified by certain disclosures exchanged by the parties in connection with the Private Placement. Accordingly, the Purchase Agreement, the Warrants, the Placement Agency Agreement and the Armistice Warrant Amendment are incorporated herein by reference only to provide investors with information regarding the terms thereof, and not to provide investors with any other factual information regarding the Company or its business, and should be read in conjunction with the disclosures in the Company’s periodic reports and other filings with the Securities and Exchange Commission (the “SEC”). </w:t>
      </w:r>
    </w:p>
    <w:p>
      <w:pPr>
        <w:pStyle w:val="TextBody"/>
        <w:bidi w:val="0"/>
        <w:spacing w:before="240" w:after="0"/>
        <w:jc w:val="left"/>
        <w:rPr>
          <w:rFonts w:ascii="Times New Roman" w:hAnsi="Times New Roman"/>
          <w:sz w:val="20"/>
        </w:rPr>
      </w:pPr>
      <w:r>
        <w:rPr>
          <w:rFonts w:ascii="Times New Roman" w:hAnsi="Times New Roman"/>
          <w:sz w:val="20"/>
        </w:rPr>
        <w:t xml:space="preserve">This Current Report on Form 8-K does not constitute an offer to sell, or the solicitation of an offer to buy, nor shall there be any sale of these securities in any state or jurisdiction in which such offer, solicitation or sale would be unlawful prior to the registration or qualification under the securities laws of any such state or jurisdiction. </w:t>
      </w:r>
    </w:p>
    <w:p>
      <w:pPr>
        <w:pStyle w:val="TextBody"/>
        <w:bidi w:val="0"/>
        <w:spacing w:before="360" w:after="0"/>
        <w:jc w:val="left"/>
        <w:rPr>
          <w:rFonts w:ascii="Times New Roman" w:hAnsi="Times New Roman"/>
          <w:i/>
          <w:sz w:val="20"/>
        </w:rPr>
      </w:pPr>
      <w:r>
        <w:rPr>
          <w:rFonts w:ascii="Times New Roman" w:hAnsi="Times New Roman"/>
          <w:i/>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Current Report on Form 8-K contains forward-looking statements that involve risks and uncertainties, such as statements related to the expected use of the proceeds from the Private Placement. The risks and uncertainties involved include the Company’s financial position, market conditions and other risks detailed from time to time in the Company’s periodic reports and other filings with the SEC. You are cautioned not to place undue reliance on forward-looking statements, which are based on the Company’s current expectations and assumptions and speak only as of the date of this Current Report on Form 8-K. The Company does not intend to revise or update any forward-looking statement in this Current Report on Form 8-K as a result of new information, future events or otherwise, except as required by law. </w:t>
      </w:r>
    </w:p>
    <w:p>
      <w:pPr>
        <w:pStyle w:val="TextBody"/>
        <w:bidi w:val="0"/>
        <w:spacing w:before="0" w:after="0"/>
        <w:jc w:val="left"/>
        <w:rPr/>
      </w:pPr>
      <w:r>
        <w:rPr/>
        <w:t> </w:t>
      </w:r>
    </w:p>
    <w:tbl>
      <w:tblPr>
        <w:tblW w:w="4420" w:type="dxa"/>
        <w:jc w:val="left"/>
        <w:tblInd w:w="0" w:type="dxa"/>
        <w:tblLayout w:type="fixed"/>
        <w:tblCellMar>
          <w:top w:w="0" w:type="dxa"/>
          <w:left w:w="0" w:type="dxa"/>
          <w:bottom w:w="0" w:type="dxa"/>
          <w:right w:w="0" w:type="dxa"/>
        </w:tblCellMar>
      </w:tblPr>
      <w:tblGrid>
        <w:gridCol w:w="1025"/>
        <w:gridCol w:w="3395"/>
      </w:tblGrid>
      <w:tr>
        <w:trPr/>
        <w:tc>
          <w:tcPr>
            <w:tcW w:w="1025" w:type="dxa"/>
            <w:tcBorders/>
            <w:vAlign w:val="center"/>
          </w:tcPr>
          <w:p>
            <w:pPr>
              <w:pStyle w:val="TableContents"/>
              <w:bidi w:val="0"/>
              <w:spacing w:before="0" w:after="283"/>
              <w:jc w:val="left"/>
              <w:rPr>
                <w:b/>
              </w:rPr>
            </w:pPr>
            <w:r>
              <w:rPr>
                <w:b/>
              </w:rPr>
              <w:t>Item 3.02.</w:t>
            </w:r>
          </w:p>
        </w:tc>
        <w:tc>
          <w:tcPr>
            <w:tcW w:w="339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Unregistered Sales of Equity Securities.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disclosures in Item 1.01 of this Current Report are incorporated by reference into this Item 3.02. </w:t>
      </w:r>
    </w:p>
    <w:p>
      <w:pPr>
        <w:pStyle w:val="TextBody"/>
        <w:bidi w:val="0"/>
        <w:spacing w:before="0" w:after="0"/>
        <w:jc w:val="left"/>
        <w:rPr/>
      </w:pPr>
      <w:r>
        <w:rPr/>
        <w:t> </w:t>
      </w:r>
    </w:p>
    <w:tbl>
      <w:tblPr>
        <w:tblW w:w="2260" w:type="dxa"/>
        <w:jc w:val="left"/>
        <w:tblInd w:w="0" w:type="dxa"/>
        <w:tblLayout w:type="fixed"/>
        <w:tblCellMar>
          <w:top w:w="0" w:type="dxa"/>
          <w:left w:w="0" w:type="dxa"/>
          <w:bottom w:w="0" w:type="dxa"/>
          <w:right w:w="0" w:type="dxa"/>
        </w:tblCellMar>
      </w:tblPr>
      <w:tblGrid>
        <w:gridCol w:w="1025"/>
        <w:gridCol w:w="1235"/>
      </w:tblGrid>
      <w:tr>
        <w:trPr/>
        <w:tc>
          <w:tcPr>
            <w:tcW w:w="1025" w:type="dxa"/>
            <w:tcBorders/>
            <w:vAlign w:val="center"/>
          </w:tcPr>
          <w:p>
            <w:pPr>
              <w:pStyle w:val="TableContents"/>
              <w:bidi w:val="0"/>
              <w:spacing w:before="0" w:after="283"/>
              <w:jc w:val="left"/>
              <w:rPr>
                <w:b/>
              </w:rPr>
            </w:pPr>
            <w:r>
              <w:rPr>
                <w:b/>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July 16, 2026, the Company issued a press release announcing the pricing of the Private Placement. A copy of the press release is filed herewith as Exhibit 99.1 and is incorporated herein by reference. </w:t>
      </w:r>
    </w:p>
    <w:p>
      <w:pPr>
        <w:pStyle w:val="TextBody"/>
        <w:bidi w:val="0"/>
        <w:spacing w:before="0" w:after="0"/>
        <w:jc w:val="left"/>
        <w:rPr/>
      </w:pPr>
      <w:r>
        <w:rPr/>
        <w:t> </w:t>
      </w:r>
    </w:p>
    <w:tbl>
      <w:tblPr>
        <w:tblW w:w="3925" w:type="dxa"/>
        <w:jc w:val="left"/>
        <w:tblInd w:w="0" w:type="dxa"/>
        <w:tblLayout w:type="fixed"/>
        <w:tblCellMar>
          <w:top w:w="0" w:type="dxa"/>
          <w:left w:w="0" w:type="dxa"/>
          <w:bottom w:w="0" w:type="dxa"/>
          <w:right w:w="0" w:type="dxa"/>
        </w:tblCellMar>
      </w:tblPr>
      <w:tblGrid>
        <w:gridCol w:w="965"/>
        <w:gridCol w:w="2960"/>
      </w:tblGrid>
      <w:tr>
        <w:trPr/>
        <w:tc>
          <w:tcPr>
            <w:tcW w:w="965" w:type="dxa"/>
            <w:tcBorders/>
            <w:vAlign w:val="center"/>
          </w:tcPr>
          <w:p>
            <w:pPr>
              <w:pStyle w:val="TableContents"/>
              <w:bidi w:val="0"/>
              <w:spacing w:before="0" w:after="283"/>
              <w:jc w:val="left"/>
              <w:rPr>
                <w:b/>
              </w:rPr>
            </w:pPr>
            <w:r>
              <w:rPr>
                <w:b/>
              </w:rPr>
              <w:t>Item 9.01</w:t>
            </w:r>
          </w:p>
        </w:tc>
        <w:tc>
          <w:tcPr>
            <w:tcW w:w="29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05"/>
        <w:gridCol w:w="60"/>
        <w:gridCol w:w="9540"/>
      </w:tblGrid>
      <w:tr>
        <w:trPr/>
        <w:tc>
          <w:tcPr>
            <w:tcW w:w="6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540" w:type="dxa"/>
            <w:tcBorders/>
            <w:vAlign w:val="center"/>
          </w:tcPr>
          <w:p>
            <w:pPr>
              <w:pStyle w:val="TableContents"/>
              <w:bidi w:val="0"/>
              <w:spacing w:before="0" w:after="283"/>
              <w:jc w:val="left"/>
              <w:rPr>
                <w:sz w:val="4"/>
                <w:szCs w:val="4"/>
              </w:rPr>
            </w:pPr>
            <w:r>
              <w:rPr>
                <w:sz w:val="4"/>
                <w:szCs w:val="4"/>
              </w:rPr>
            </w:r>
          </w:p>
        </w:tc>
      </w:tr>
      <w:tr>
        <w:trPr/>
        <w:tc>
          <w:tcPr>
            <w:tcW w:w="605" w:type="dxa"/>
            <w:tcBorders/>
            <w:vAlign w:val="center"/>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Number</w:t>
            </w:r>
          </w:p>
        </w:tc>
        <w:tc>
          <w:tcPr>
            <w:tcW w:w="60" w:type="dxa"/>
            <w:tcBorders/>
            <w:vAlign w:val="center"/>
          </w:tcPr>
          <w:p>
            <w:pPr>
              <w:pStyle w:val="TableContents"/>
              <w:bidi w:val="0"/>
              <w:spacing w:before="0" w:after="283"/>
              <w:jc w:val="left"/>
              <w:rPr/>
            </w:pPr>
            <w:r>
              <w:rPr/>
              <w:t> </w:t>
            </w:r>
          </w:p>
        </w:tc>
        <w:tc>
          <w:tcPr>
            <w:tcW w:w="9540" w:type="dxa"/>
            <w:tcBorders/>
            <w:vAlign w:val="center"/>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Description</w:t>
            </w:r>
          </w:p>
        </w:tc>
      </w:tr>
      <w:tr>
        <w:trPr/>
        <w:tc>
          <w:tcPr>
            <w:tcW w:w="605" w:type="dxa"/>
            <w:tcBorders/>
            <w:vAlign w:val="center"/>
          </w:tcPr>
          <w:p>
            <w:pPr>
              <w:pStyle w:val="TableContents"/>
              <w:bidi w:val="0"/>
              <w:spacing w:before="0" w:after="283"/>
              <w:jc w:val="left"/>
              <w:rPr>
                <w:sz w:val="4"/>
                <w:szCs w:val="4"/>
              </w:rPr>
            </w:pPr>
            <w:r>
              <w:rPr>
                <w:sz w:val="4"/>
                <w:szCs w:val="4"/>
              </w:rPr>
            </w:r>
          </w:p>
        </w:tc>
        <w:tc>
          <w:tcPr>
            <w:tcW w:w="9600" w:type="dxa"/>
            <w:gridSpan w:val="2"/>
            <w:tcBorders/>
            <w:vAlign w:val="center"/>
          </w:tcPr>
          <w:p>
            <w:pPr>
              <w:pStyle w:val="TableContents"/>
              <w:bidi w:val="0"/>
              <w:spacing w:before="0" w:after="283"/>
              <w:jc w:val="left"/>
              <w:rPr>
                <w:sz w:val="4"/>
                <w:szCs w:val="4"/>
              </w:rPr>
            </w:pPr>
            <w:r>
              <w:rPr>
                <w:sz w:val="4"/>
                <w:szCs w:val="4"/>
              </w:rPr>
            </w:r>
          </w:p>
        </w:tc>
      </w:tr>
      <w:tr>
        <w:trPr/>
        <w:tc>
          <w:tcPr>
            <w:tcW w:w="605" w:type="dxa"/>
            <w:tcBorders/>
            <w:vAlign w:val="center"/>
          </w:tcPr>
          <w:p>
            <w:pPr>
              <w:pStyle w:val="TableContents"/>
              <w:bidi w:val="0"/>
              <w:spacing w:before="0" w:after="283"/>
              <w:jc w:val="left"/>
              <w:rPr/>
            </w:pPr>
            <w:r>
              <w:rPr/>
              <w:t>4.1</w:t>
            </w:r>
          </w:p>
        </w:tc>
        <w:tc>
          <w:tcPr>
            <w:tcW w:w="60" w:type="dxa"/>
            <w:tcBorders/>
            <w:vAlign w:val="center"/>
          </w:tcPr>
          <w:p>
            <w:pPr>
              <w:pStyle w:val="TableContents"/>
              <w:bidi w:val="0"/>
              <w:spacing w:before="0" w:after="283"/>
              <w:jc w:val="left"/>
              <w:rPr/>
            </w:pPr>
            <w:r>
              <w:rPr/>
              <w:t> </w:t>
            </w:r>
          </w:p>
        </w:tc>
        <w:tc>
          <w:tcPr>
            <w:tcW w:w="9540" w:type="dxa"/>
            <w:tcBorders/>
            <w:vAlign w:val="center"/>
          </w:tcPr>
          <w:p>
            <w:pPr>
              <w:pStyle w:val="TableContents"/>
              <w:bidi w:val="0"/>
              <w:spacing w:before="0" w:after="283"/>
              <w:jc w:val="left"/>
              <w:rPr/>
            </w:pPr>
            <w:hyperlink w:anchor="d134319dex41.htm">
              <w:r>
                <w:rPr>
                  <w:rStyle w:val="InternetLink"/>
                </w:rPr>
                <w:t xml:space="preserve">Form of Pre-Funded Warrant to Purchase Shares of Common Stock. </w:t>
              </w:r>
            </w:hyperlink>
          </w:p>
        </w:tc>
      </w:tr>
      <w:tr>
        <w:trPr/>
        <w:tc>
          <w:tcPr>
            <w:tcW w:w="605" w:type="dxa"/>
            <w:tcBorders/>
            <w:vAlign w:val="center"/>
          </w:tcPr>
          <w:p>
            <w:pPr>
              <w:pStyle w:val="TableContents"/>
              <w:bidi w:val="0"/>
              <w:spacing w:before="0" w:after="283"/>
              <w:jc w:val="left"/>
              <w:rPr>
                <w:sz w:val="4"/>
                <w:szCs w:val="4"/>
              </w:rPr>
            </w:pPr>
            <w:r>
              <w:rPr>
                <w:sz w:val="4"/>
                <w:szCs w:val="4"/>
              </w:rPr>
            </w:r>
          </w:p>
        </w:tc>
        <w:tc>
          <w:tcPr>
            <w:tcW w:w="9600" w:type="dxa"/>
            <w:gridSpan w:val="2"/>
            <w:tcBorders/>
            <w:vAlign w:val="center"/>
          </w:tcPr>
          <w:p>
            <w:pPr>
              <w:pStyle w:val="TableContents"/>
              <w:bidi w:val="0"/>
              <w:spacing w:before="0" w:after="283"/>
              <w:jc w:val="left"/>
              <w:rPr>
                <w:sz w:val="4"/>
                <w:szCs w:val="4"/>
              </w:rPr>
            </w:pPr>
            <w:r>
              <w:rPr>
                <w:sz w:val="4"/>
                <w:szCs w:val="4"/>
              </w:rPr>
            </w:r>
          </w:p>
        </w:tc>
      </w:tr>
      <w:tr>
        <w:trPr/>
        <w:tc>
          <w:tcPr>
            <w:tcW w:w="605" w:type="dxa"/>
            <w:tcBorders/>
            <w:vAlign w:val="center"/>
          </w:tcPr>
          <w:p>
            <w:pPr>
              <w:pStyle w:val="TableContents"/>
              <w:bidi w:val="0"/>
              <w:spacing w:before="0" w:after="283"/>
              <w:jc w:val="left"/>
              <w:rPr/>
            </w:pPr>
            <w:r>
              <w:rPr/>
              <w:t>4.2</w:t>
            </w:r>
          </w:p>
        </w:tc>
        <w:tc>
          <w:tcPr>
            <w:tcW w:w="60" w:type="dxa"/>
            <w:tcBorders/>
            <w:vAlign w:val="center"/>
          </w:tcPr>
          <w:p>
            <w:pPr>
              <w:pStyle w:val="TableContents"/>
              <w:bidi w:val="0"/>
              <w:spacing w:before="0" w:after="283"/>
              <w:jc w:val="left"/>
              <w:rPr/>
            </w:pPr>
            <w:r>
              <w:rPr/>
              <w:t> </w:t>
            </w:r>
          </w:p>
        </w:tc>
        <w:tc>
          <w:tcPr>
            <w:tcW w:w="9540" w:type="dxa"/>
            <w:tcBorders/>
            <w:vAlign w:val="center"/>
          </w:tcPr>
          <w:p>
            <w:pPr>
              <w:pStyle w:val="TableContents"/>
              <w:bidi w:val="0"/>
              <w:spacing w:before="0" w:after="283"/>
              <w:jc w:val="left"/>
              <w:rPr/>
            </w:pPr>
            <w:hyperlink w:anchor="d134319dex42.htm">
              <w:r>
                <w:rPr>
                  <w:rStyle w:val="InternetLink"/>
                </w:rPr>
                <w:t xml:space="preserve">Form of Common Stock Purchase Warrant to Purchase Shares of Common Stock. </w:t>
              </w:r>
            </w:hyperlink>
          </w:p>
        </w:tc>
      </w:tr>
      <w:tr>
        <w:trPr/>
        <w:tc>
          <w:tcPr>
            <w:tcW w:w="605" w:type="dxa"/>
            <w:tcBorders/>
            <w:vAlign w:val="center"/>
          </w:tcPr>
          <w:p>
            <w:pPr>
              <w:pStyle w:val="TableContents"/>
              <w:bidi w:val="0"/>
              <w:spacing w:before="0" w:after="283"/>
              <w:jc w:val="left"/>
              <w:rPr>
                <w:sz w:val="4"/>
                <w:szCs w:val="4"/>
              </w:rPr>
            </w:pPr>
            <w:r>
              <w:rPr>
                <w:sz w:val="4"/>
                <w:szCs w:val="4"/>
              </w:rPr>
            </w:r>
          </w:p>
        </w:tc>
        <w:tc>
          <w:tcPr>
            <w:tcW w:w="9600" w:type="dxa"/>
            <w:gridSpan w:val="2"/>
            <w:tcBorders/>
            <w:vAlign w:val="center"/>
          </w:tcPr>
          <w:p>
            <w:pPr>
              <w:pStyle w:val="TableContents"/>
              <w:bidi w:val="0"/>
              <w:spacing w:before="0" w:after="283"/>
              <w:jc w:val="left"/>
              <w:rPr>
                <w:sz w:val="4"/>
                <w:szCs w:val="4"/>
              </w:rPr>
            </w:pPr>
            <w:r>
              <w:rPr>
                <w:sz w:val="4"/>
                <w:szCs w:val="4"/>
              </w:rPr>
            </w:r>
          </w:p>
        </w:tc>
      </w:tr>
      <w:tr>
        <w:trPr/>
        <w:tc>
          <w:tcPr>
            <w:tcW w:w="605" w:type="dxa"/>
            <w:tcBorders/>
            <w:vAlign w:val="center"/>
          </w:tcPr>
          <w:p>
            <w:pPr>
              <w:pStyle w:val="TableContents"/>
              <w:bidi w:val="0"/>
              <w:spacing w:before="0" w:after="283"/>
              <w:jc w:val="left"/>
              <w:rPr/>
            </w:pPr>
            <w:r>
              <w:rPr/>
              <w:t>4.3</w:t>
            </w:r>
          </w:p>
        </w:tc>
        <w:tc>
          <w:tcPr>
            <w:tcW w:w="60" w:type="dxa"/>
            <w:tcBorders/>
            <w:vAlign w:val="center"/>
          </w:tcPr>
          <w:p>
            <w:pPr>
              <w:pStyle w:val="TableContents"/>
              <w:bidi w:val="0"/>
              <w:spacing w:before="0" w:after="283"/>
              <w:jc w:val="left"/>
              <w:rPr/>
            </w:pPr>
            <w:r>
              <w:rPr/>
              <w:t> </w:t>
            </w:r>
          </w:p>
        </w:tc>
        <w:tc>
          <w:tcPr>
            <w:tcW w:w="9540" w:type="dxa"/>
            <w:tcBorders/>
            <w:vAlign w:val="center"/>
          </w:tcPr>
          <w:p>
            <w:pPr>
              <w:pStyle w:val="TableContents"/>
              <w:bidi w:val="0"/>
              <w:spacing w:before="0" w:after="283"/>
              <w:jc w:val="left"/>
              <w:rPr/>
            </w:pPr>
            <w:hyperlink w:anchor="d134319dex43.htm">
              <w:r>
                <w:rPr>
                  <w:rStyle w:val="InternetLink"/>
                </w:rPr>
                <w:t xml:space="preserve">Amendment to Common Stock Purchase Warrants, dated July 16, 2026, between the Company and Armistice Capital Master Fund Ltd. </w:t>
              </w:r>
            </w:hyperlink>
          </w:p>
        </w:tc>
      </w:tr>
      <w:tr>
        <w:trPr/>
        <w:tc>
          <w:tcPr>
            <w:tcW w:w="605" w:type="dxa"/>
            <w:tcBorders/>
            <w:vAlign w:val="center"/>
          </w:tcPr>
          <w:p>
            <w:pPr>
              <w:pStyle w:val="TableContents"/>
              <w:bidi w:val="0"/>
              <w:spacing w:before="0" w:after="283"/>
              <w:jc w:val="left"/>
              <w:rPr>
                <w:sz w:val="4"/>
                <w:szCs w:val="4"/>
              </w:rPr>
            </w:pPr>
            <w:r>
              <w:rPr>
                <w:sz w:val="4"/>
                <w:szCs w:val="4"/>
              </w:rPr>
            </w:r>
          </w:p>
        </w:tc>
        <w:tc>
          <w:tcPr>
            <w:tcW w:w="9600" w:type="dxa"/>
            <w:gridSpan w:val="2"/>
            <w:tcBorders/>
            <w:vAlign w:val="center"/>
          </w:tcPr>
          <w:p>
            <w:pPr>
              <w:pStyle w:val="TableContents"/>
              <w:bidi w:val="0"/>
              <w:spacing w:before="0" w:after="283"/>
              <w:jc w:val="left"/>
              <w:rPr>
                <w:sz w:val="4"/>
                <w:szCs w:val="4"/>
              </w:rPr>
            </w:pPr>
            <w:r>
              <w:rPr>
                <w:sz w:val="4"/>
                <w:szCs w:val="4"/>
              </w:rPr>
            </w:r>
          </w:p>
        </w:tc>
      </w:tr>
      <w:tr>
        <w:trPr/>
        <w:tc>
          <w:tcPr>
            <w:tcW w:w="605" w:type="dxa"/>
            <w:tcBorders/>
            <w:vAlign w:val="center"/>
          </w:tcPr>
          <w:p>
            <w:pPr>
              <w:pStyle w:val="TableContents"/>
              <w:bidi w:val="0"/>
              <w:spacing w:before="0" w:after="283"/>
              <w:jc w:val="left"/>
              <w:rPr/>
            </w:pPr>
            <w:r>
              <w:rPr/>
              <w:t>10.1</w:t>
            </w:r>
          </w:p>
        </w:tc>
        <w:tc>
          <w:tcPr>
            <w:tcW w:w="60" w:type="dxa"/>
            <w:tcBorders/>
            <w:vAlign w:val="center"/>
          </w:tcPr>
          <w:p>
            <w:pPr>
              <w:pStyle w:val="TableContents"/>
              <w:bidi w:val="0"/>
              <w:spacing w:before="0" w:after="283"/>
              <w:jc w:val="left"/>
              <w:rPr/>
            </w:pPr>
            <w:r>
              <w:rPr/>
              <w:t> </w:t>
            </w:r>
          </w:p>
        </w:tc>
        <w:tc>
          <w:tcPr>
            <w:tcW w:w="9540" w:type="dxa"/>
            <w:tcBorders/>
            <w:vAlign w:val="center"/>
          </w:tcPr>
          <w:p>
            <w:pPr>
              <w:pStyle w:val="TableContents"/>
              <w:bidi w:val="0"/>
              <w:spacing w:before="0" w:after="283"/>
              <w:jc w:val="left"/>
              <w:rPr/>
            </w:pPr>
            <w:hyperlink w:anchor="d134319dex101.htm">
              <w:r>
                <w:rPr>
                  <w:rStyle w:val="InternetLink"/>
                </w:rPr>
                <w:t xml:space="preserve">Securities Purchase Agreement, dated July 16, 2026, between the Company and the purchaser identified on the signature page thereto. </w:t>
              </w:r>
            </w:hyperlink>
          </w:p>
        </w:tc>
      </w:tr>
      <w:tr>
        <w:trPr/>
        <w:tc>
          <w:tcPr>
            <w:tcW w:w="605" w:type="dxa"/>
            <w:tcBorders/>
            <w:vAlign w:val="center"/>
          </w:tcPr>
          <w:p>
            <w:pPr>
              <w:pStyle w:val="TableContents"/>
              <w:bidi w:val="0"/>
              <w:spacing w:before="0" w:after="283"/>
              <w:jc w:val="left"/>
              <w:rPr>
                <w:sz w:val="4"/>
                <w:szCs w:val="4"/>
              </w:rPr>
            </w:pPr>
            <w:r>
              <w:rPr>
                <w:sz w:val="4"/>
                <w:szCs w:val="4"/>
              </w:rPr>
            </w:r>
          </w:p>
        </w:tc>
        <w:tc>
          <w:tcPr>
            <w:tcW w:w="9600" w:type="dxa"/>
            <w:gridSpan w:val="2"/>
            <w:tcBorders/>
            <w:vAlign w:val="center"/>
          </w:tcPr>
          <w:p>
            <w:pPr>
              <w:pStyle w:val="TableContents"/>
              <w:bidi w:val="0"/>
              <w:spacing w:before="0" w:after="283"/>
              <w:jc w:val="left"/>
              <w:rPr>
                <w:sz w:val="4"/>
                <w:szCs w:val="4"/>
              </w:rPr>
            </w:pPr>
            <w:r>
              <w:rPr>
                <w:sz w:val="4"/>
                <w:szCs w:val="4"/>
              </w:rPr>
            </w:r>
          </w:p>
        </w:tc>
      </w:tr>
      <w:tr>
        <w:trPr/>
        <w:tc>
          <w:tcPr>
            <w:tcW w:w="605" w:type="dxa"/>
            <w:tcBorders/>
            <w:vAlign w:val="center"/>
          </w:tcPr>
          <w:p>
            <w:pPr>
              <w:pStyle w:val="TableContents"/>
              <w:bidi w:val="0"/>
              <w:spacing w:before="0" w:after="283"/>
              <w:jc w:val="left"/>
              <w:rPr/>
            </w:pPr>
            <w:r>
              <w:rPr/>
              <w:t>10.2</w:t>
            </w:r>
          </w:p>
        </w:tc>
        <w:tc>
          <w:tcPr>
            <w:tcW w:w="60" w:type="dxa"/>
            <w:tcBorders/>
            <w:vAlign w:val="center"/>
          </w:tcPr>
          <w:p>
            <w:pPr>
              <w:pStyle w:val="TableContents"/>
              <w:bidi w:val="0"/>
              <w:spacing w:before="0" w:after="283"/>
              <w:jc w:val="left"/>
              <w:rPr/>
            </w:pPr>
            <w:r>
              <w:rPr/>
              <w:t> </w:t>
            </w:r>
          </w:p>
        </w:tc>
        <w:tc>
          <w:tcPr>
            <w:tcW w:w="9540" w:type="dxa"/>
            <w:tcBorders/>
            <w:vAlign w:val="center"/>
          </w:tcPr>
          <w:p>
            <w:pPr>
              <w:pStyle w:val="TableContents"/>
              <w:bidi w:val="0"/>
              <w:spacing w:before="0" w:after="283"/>
              <w:jc w:val="left"/>
              <w:rPr/>
            </w:pPr>
            <w:hyperlink w:anchor="d134319dex102.htm">
              <w:r>
                <w:rPr>
                  <w:rStyle w:val="InternetLink"/>
                </w:rPr>
                <w:t xml:space="preserve">Placement Agency Agreement, dated July 16, 2026, between the Company and A.G.P./Alliance Global Partners. </w:t>
              </w:r>
            </w:hyperlink>
          </w:p>
        </w:tc>
      </w:tr>
      <w:tr>
        <w:trPr/>
        <w:tc>
          <w:tcPr>
            <w:tcW w:w="605" w:type="dxa"/>
            <w:tcBorders/>
            <w:vAlign w:val="center"/>
          </w:tcPr>
          <w:p>
            <w:pPr>
              <w:pStyle w:val="TableContents"/>
              <w:bidi w:val="0"/>
              <w:spacing w:before="0" w:after="283"/>
              <w:jc w:val="left"/>
              <w:rPr>
                <w:sz w:val="4"/>
                <w:szCs w:val="4"/>
              </w:rPr>
            </w:pPr>
            <w:r>
              <w:rPr>
                <w:sz w:val="4"/>
                <w:szCs w:val="4"/>
              </w:rPr>
            </w:r>
          </w:p>
        </w:tc>
        <w:tc>
          <w:tcPr>
            <w:tcW w:w="9600" w:type="dxa"/>
            <w:gridSpan w:val="2"/>
            <w:tcBorders/>
            <w:vAlign w:val="center"/>
          </w:tcPr>
          <w:p>
            <w:pPr>
              <w:pStyle w:val="TableContents"/>
              <w:bidi w:val="0"/>
              <w:spacing w:before="0" w:after="283"/>
              <w:jc w:val="left"/>
              <w:rPr>
                <w:sz w:val="4"/>
                <w:szCs w:val="4"/>
              </w:rPr>
            </w:pPr>
            <w:r>
              <w:rPr>
                <w:sz w:val="4"/>
                <w:szCs w:val="4"/>
              </w:rPr>
            </w:r>
          </w:p>
        </w:tc>
      </w:tr>
      <w:tr>
        <w:trPr/>
        <w:tc>
          <w:tcPr>
            <w:tcW w:w="605" w:type="dxa"/>
            <w:tcBorders/>
            <w:vAlign w:val="center"/>
          </w:tcPr>
          <w:p>
            <w:pPr>
              <w:pStyle w:val="TableContents"/>
              <w:bidi w:val="0"/>
              <w:spacing w:before="0" w:after="283"/>
              <w:jc w:val="left"/>
              <w:rPr/>
            </w:pPr>
            <w:r>
              <w:rPr/>
              <w:t>99.1</w:t>
            </w:r>
          </w:p>
        </w:tc>
        <w:tc>
          <w:tcPr>
            <w:tcW w:w="60" w:type="dxa"/>
            <w:tcBorders/>
            <w:vAlign w:val="center"/>
          </w:tcPr>
          <w:p>
            <w:pPr>
              <w:pStyle w:val="TableContents"/>
              <w:bidi w:val="0"/>
              <w:spacing w:before="0" w:after="283"/>
              <w:jc w:val="left"/>
              <w:rPr/>
            </w:pPr>
            <w:r>
              <w:rPr/>
              <w:t> </w:t>
            </w:r>
          </w:p>
        </w:tc>
        <w:tc>
          <w:tcPr>
            <w:tcW w:w="9540" w:type="dxa"/>
            <w:tcBorders/>
            <w:vAlign w:val="center"/>
          </w:tcPr>
          <w:p>
            <w:pPr>
              <w:pStyle w:val="TableContents"/>
              <w:bidi w:val="0"/>
              <w:spacing w:before="0" w:after="283"/>
              <w:jc w:val="left"/>
              <w:rPr/>
            </w:pPr>
            <w:hyperlink w:anchor="d134319dex991.htm">
              <w:r>
                <w:rPr>
                  <w:rStyle w:val="InternetLink"/>
                </w:rPr>
                <w:t xml:space="preserve">Press Release, dated July 16, 2026. </w:t>
              </w:r>
            </w:hyperlink>
          </w:p>
        </w:tc>
      </w:tr>
      <w:tr>
        <w:trPr/>
        <w:tc>
          <w:tcPr>
            <w:tcW w:w="605" w:type="dxa"/>
            <w:tcBorders/>
            <w:vAlign w:val="center"/>
          </w:tcPr>
          <w:p>
            <w:pPr>
              <w:pStyle w:val="TableContents"/>
              <w:bidi w:val="0"/>
              <w:spacing w:before="0" w:after="283"/>
              <w:jc w:val="left"/>
              <w:rPr>
                <w:sz w:val="4"/>
                <w:szCs w:val="4"/>
              </w:rPr>
            </w:pPr>
            <w:r>
              <w:rPr>
                <w:sz w:val="4"/>
                <w:szCs w:val="4"/>
              </w:rPr>
            </w:r>
          </w:p>
        </w:tc>
        <w:tc>
          <w:tcPr>
            <w:tcW w:w="9600" w:type="dxa"/>
            <w:gridSpan w:val="2"/>
            <w:tcBorders/>
            <w:vAlign w:val="center"/>
          </w:tcPr>
          <w:p>
            <w:pPr>
              <w:pStyle w:val="TableContents"/>
              <w:bidi w:val="0"/>
              <w:spacing w:before="0" w:after="283"/>
              <w:jc w:val="left"/>
              <w:rPr>
                <w:sz w:val="4"/>
                <w:szCs w:val="4"/>
              </w:rPr>
            </w:pPr>
            <w:r>
              <w:rPr>
                <w:sz w:val="4"/>
                <w:szCs w:val="4"/>
              </w:rPr>
            </w:r>
          </w:p>
        </w:tc>
      </w:tr>
      <w:tr>
        <w:trPr/>
        <w:tc>
          <w:tcPr>
            <w:tcW w:w="605" w:type="dxa"/>
            <w:tcBorders/>
            <w:vAlign w:val="center"/>
          </w:tcPr>
          <w:p>
            <w:pPr>
              <w:pStyle w:val="TableContents"/>
              <w:bidi w:val="0"/>
              <w:spacing w:before="0" w:after="283"/>
              <w:jc w:val="left"/>
              <w:rPr/>
            </w:pPr>
            <w:r>
              <w:rPr/>
              <w:t>104</w:t>
            </w:r>
          </w:p>
        </w:tc>
        <w:tc>
          <w:tcPr>
            <w:tcW w:w="60" w:type="dxa"/>
            <w:tcBorders/>
            <w:vAlign w:val="center"/>
          </w:tcPr>
          <w:p>
            <w:pPr>
              <w:pStyle w:val="TableContents"/>
              <w:bidi w:val="0"/>
              <w:spacing w:before="0" w:after="283"/>
              <w:jc w:val="left"/>
              <w:rPr/>
            </w:pPr>
            <w:r>
              <w:rPr/>
              <w:t> </w:t>
            </w:r>
          </w:p>
        </w:tc>
        <w:tc>
          <w:tcPr>
            <w:tcW w:w="9540" w:type="dxa"/>
            <w:tcBorders/>
            <w:vAlign w:val="center"/>
          </w:tcPr>
          <w:p>
            <w:pPr>
              <w:pStyle w:val="TableContents"/>
              <w:bidi w:val="0"/>
              <w:spacing w:before="0" w:after="283"/>
              <w:jc w:val="left"/>
              <w:rPr/>
            </w:pPr>
            <w:r>
              <w:rPr/>
              <w:t>Cover Page Interactive Data File, formatted in Inline Extensible Business Reporting Language (iXBRL).</w:t>
            </w:r>
          </w:p>
        </w:tc>
      </w:tr>
    </w:tbl>
    <w:p>
      <w:pPr>
        <w:pStyle w:val="TextBody"/>
        <w:bidi w:val="0"/>
        <w:spacing w:before="240" w:after="0"/>
        <w:jc w:val="center"/>
        <w:rPr>
          <w:rFonts w:ascii="Times New Roman" w:hAnsi="Times New Roman"/>
          <w:sz w:val="20"/>
        </w:rPr>
      </w:pPr>
      <w:r>
        <w:rPr>
          <w:rFonts w:ascii="Times New Roman" w:hAnsi="Times New Roman"/>
          <w:sz w:val="20"/>
        </w:rPr>
        <w:t xml:space="preserve">*  *  *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4973" w:type="dxa"/>
        <w:jc w:val="left"/>
        <w:tblInd w:w="0" w:type="dxa"/>
        <w:tblLayout w:type="fixed"/>
        <w:tblCellMar>
          <w:top w:w="0" w:type="dxa"/>
          <w:left w:w="0" w:type="dxa"/>
          <w:bottom w:w="0" w:type="dxa"/>
          <w:right w:w="0" w:type="dxa"/>
        </w:tblCellMar>
      </w:tblPr>
      <w:tblGrid>
        <w:gridCol w:w="1895"/>
        <w:gridCol w:w="60"/>
        <w:gridCol w:w="23"/>
        <w:gridCol w:w="60"/>
        <w:gridCol w:w="650"/>
        <w:gridCol w:w="60"/>
        <w:gridCol w:w="2225"/>
      </w:tblGrid>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935" w:type="dxa"/>
            <w:gridSpan w:val="3"/>
            <w:tcBorders/>
            <w:vAlign w:val="center"/>
          </w:tcPr>
          <w:p>
            <w:pPr>
              <w:pStyle w:val="TableContents"/>
              <w:bidi w:val="0"/>
              <w:spacing w:before="0" w:after="283"/>
              <w:jc w:val="left"/>
              <w:rPr/>
            </w:pPr>
            <w:r>
              <w:rPr/>
              <w:t>VivoSim Labs, Inc.</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2285" w:type="dxa"/>
            <w:gridSpan w:val="2"/>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283"/>
              <w:jc w:val="left"/>
              <w:rPr/>
            </w:pPr>
            <w:r>
              <w:rPr/>
              <w:t>Date: July 17,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Norman Staskey</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Norman Staskey</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Chief Financial Officer</w:t>
            </w:r>
          </w:p>
        </w:tc>
      </w:tr>
    </w:tbl>
    <w:p>
      <w:pPr>
        <w:pStyle w:val="TextBody"/>
        <w:bidi w:val="0"/>
        <w:spacing w:before="0" w:after="0"/>
        <w:jc w:val="right"/>
        <w:rPr>
          <w:rFonts w:ascii="Times New Roman" w:hAnsi="Times New Roman"/>
          <w:b/>
          <w:sz w:val="20"/>
        </w:rPr>
      </w:pPr>
      <w:bookmarkStart w:id="2" w:name="d134319dex41.htm"/>
      <w:bookmarkStart w:id="3" w:name="ksd134319dex41"/>
      <w:bookmarkEnd w:id="2"/>
      <w:bookmarkEnd w:id="3"/>
      <w:r>
        <w:rPr>
          <w:rFonts w:ascii="Times New Roman" w:hAnsi="Times New Roman"/>
          <w:b/>
          <w:sz w:val="20"/>
        </w:rPr>
        <w:t xml:space="preserve">Exhibit 4.1 </w:t>
      </w:r>
      <w:r>
        <w:br w:type="page"/>
      </w:r>
    </w:p>
    <w:p>
      <w:pPr>
        <w:pStyle w:val="TextBody"/>
        <w:bidi w:val="0"/>
        <w:spacing w:before="240" w:after="0"/>
        <w:jc w:val="left"/>
        <w:rPr>
          <w:rFonts w:ascii="Times New Roman" w:hAnsi="Times New Roman"/>
          <w:b/>
          <w:sz w:val="20"/>
        </w:rPr>
      </w:pPr>
      <w:r>
        <w:rPr>
          <w:rFonts w:ascii="Times New Roman" w:hAnsi="Times New Roman"/>
          <w:b/>
          <w:sz w:val="20"/>
        </w:rPr>
        <w:t xml:space="preserve">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OR OTHER LOAN SECURED BY SUCH SECURITIES. </w:t>
      </w:r>
    </w:p>
    <w:p>
      <w:pPr>
        <w:pStyle w:val="TextBody"/>
        <w:bidi w:val="0"/>
        <w:spacing w:before="480" w:after="0"/>
        <w:jc w:val="center"/>
        <w:rPr>
          <w:rFonts w:ascii="Times New Roman" w:hAnsi="Times New Roman"/>
          <w:b/>
          <w:sz w:val="20"/>
        </w:rPr>
      </w:pPr>
      <w:r>
        <w:rPr>
          <w:rFonts w:ascii="Times New Roman" w:hAnsi="Times New Roman"/>
          <w:b/>
          <w:sz w:val="20"/>
        </w:rPr>
        <w:t xml:space="preserve">PRE-FUNDED WARRANT </w:t>
      </w:r>
    </w:p>
    <w:p>
      <w:pPr>
        <w:pStyle w:val="TextBody"/>
        <w:bidi w:val="0"/>
        <w:spacing w:before="0" w:after="0"/>
        <w:jc w:val="center"/>
        <w:rPr>
          <w:rFonts w:ascii="Times New Roman" w:hAnsi="Times New Roman"/>
          <w:b/>
          <w:sz w:val="20"/>
        </w:rPr>
      </w:pPr>
      <w:r>
        <w:rPr>
          <w:rFonts w:ascii="Times New Roman" w:hAnsi="Times New Roman"/>
          <w:b/>
          <w:sz w:val="20"/>
        </w:rPr>
        <w:t xml:space="preserve">TO PURCHASE SHARES OF COMMON STOCK </w:t>
      </w:r>
    </w:p>
    <w:p>
      <w:pPr>
        <w:pStyle w:val="TextBody"/>
        <w:bidi w:val="0"/>
        <w:spacing w:before="240" w:after="0"/>
        <w:jc w:val="center"/>
        <w:rPr>
          <w:rFonts w:ascii="Times New Roman" w:hAnsi="Times New Roman"/>
          <w:b/>
          <w:sz w:val="20"/>
        </w:rPr>
      </w:pPr>
      <w:r>
        <w:rPr>
          <w:rFonts w:ascii="Times New Roman" w:hAnsi="Times New Roman"/>
          <w:b/>
          <w:sz w:val="20"/>
        </w:rPr>
        <w:t xml:space="preserve">VIVOSIM LABS, INC.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13"/>
        <w:gridCol w:w="120"/>
        <w:gridCol w:w="4872"/>
      </w:tblGrid>
      <w:tr>
        <w:trPr/>
        <w:tc>
          <w:tcPr>
            <w:tcW w:w="521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72" w:type="dxa"/>
            <w:tcBorders/>
            <w:vAlign w:val="center"/>
          </w:tcPr>
          <w:p>
            <w:pPr>
              <w:pStyle w:val="TableContents"/>
              <w:bidi w:val="0"/>
              <w:spacing w:before="0" w:after="283"/>
              <w:jc w:val="left"/>
              <w:rPr>
                <w:sz w:val="4"/>
                <w:szCs w:val="4"/>
              </w:rPr>
            </w:pPr>
            <w:r>
              <w:rPr>
                <w:sz w:val="4"/>
                <w:szCs w:val="4"/>
              </w:rPr>
            </w:r>
          </w:p>
        </w:tc>
      </w:tr>
      <w:tr>
        <w:trPr/>
        <w:tc>
          <w:tcPr>
            <w:tcW w:w="5213" w:type="dxa"/>
            <w:tcBorders/>
          </w:tcPr>
          <w:p>
            <w:pPr>
              <w:pStyle w:val="TableContents"/>
              <w:bidi w:val="0"/>
              <w:spacing w:before="0" w:after="283"/>
              <w:jc w:val="left"/>
              <w:rPr/>
            </w:pPr>
            <w:r>
              <w:rPr/>
              <w:t>Warrant Shares: ________</w:t>
            </w:r>
          </w:p>
        </w:tc>
        <w:tc>
          <w:tcPr>
            <w:tcW w:w="120" w:type="dxa"/>
            <w:tcBorders/>
            <w:vAlign w:val="bottom"/>
          </w:tcPr>
          <w:p>
            <w:pPr>
              <w:pStyle w:val="TableContents"/>
              <w:bidi w:val="0"/>
              <w:spacing w:before="0" w:after="283"/>
              <w:jc w:val="left"/>
              <w:rPr/>
            </w:pPr>
            <w:r>
              <w:rPr/>
              <w:t>  </w:t>
            </w:r>
          </w:p>
        </w:tc>
        <w:tc>
          <w:tcPr>
            <w:tcW w:w="4872" w:type="dxa"/>
            <w:tcBorders/>
          </w:tcPr>
          <w:p>
            <w:pPr>
              <w:pStyle w:val="TableContents"/>
              <w:bidi w:val="0"/>
              <w:spacing w:before="0" w:after="283"/>
              <w:jc w:val="right"/>
              <w:rPr/>
            </w:pPr>
            <w:r>
              <w:rPr/>
              <w:t>Initial Exercise Date: July [], 2026</w:t>
            </w:r>
          </w:p>
        </w:tc>
      </w:tr>
    </w:tbl>
    <w:p>
      <w:pPr>
        <w:pStyle w:val="TextBody"/>
        <w:bidi w:val="0"/>
        <w:spacing w:before="240" w:after="0"/>
        <w:jc w:val="left"/>
        <w:rPr>
          <w:rFonts w:ascii="Times New Roman" w:hAnsi="Times New Roman"/>
          <w:sz w:val="20"/>
        </w:rPr>
      </w:pPr>
      <w:r>
        <w:rPr>
          <w:rFonts w:ascii="Times New Roman" w:hAnsi="Times New Roman"/>
          <w:sz w:val="20"/>
        </w:rPr>
        <w:t>THIS PRE-FUNDED WARRANT TO PURCHASE SHARES OF COMMON STOCK (this “</w:t>
      </w:r>
      <w:r>
        <w:rPr>
          <w:rFonts w:ascii="Times New Roman" w:hAnsi="Times New Roman"/>
          <w:sz w:val="20"/>
          <w:u w:val="single"/>
        </w:rPr>
        <w:t>Warrant</w:t>
      </w:r>
      <w:r>
        <w:rPr>
          <w:rFonts w:ascii="Times New Roman" w:hAnsi="Times New Roman"/>
          <w:sz w:val="20"/>
        </w:rPr>
        <w:t>”) certifies that, for value received, _____________ or its assigns (the “</w:t>
      </w:r>
      <w:r>
        <w:rPr>
          <w:rFonts w:ascii="Times New Roman" w:hAnsi="Times New Roman"/>
          <w:sz w:val="20"/>
          <w:u w:val="single"/>
        </w:rPr>
        <w:t>Holder</w:t>
      </w:r>
      <w:r>
        <w:rPr>
          <w:rFonts w:ascii="Times New Roman" w:hAnsi="Times New Roman"/>
          <w:sz w:val="20"/>
        </w:rPr>
        <w:t>”) is entitled, upon the terms and subject to the limitations on exercise and the conditions hereinafter set forth, at any time on or after the date hereof (the “</w:t>
      </w:r>
      <w:r>
        <w:rPr>
          <w:rFonts w:ascii="Times New Roman" w:hAnsi="Times New Roman"/>
          <w:sz w:val="20"/>
          <w:u w:val="single"/>
        </w:rPr>
        <w:t>Initial Exercise Date</w:t>
      </w:r>
      <w:r>
        <w:rPr>
          <w:rFonts w:ascii="Times New Roman" w:hAnsi="Times New Roman"/>
          <w:sz w:val="20"/>
        </w:rPr>
        <w:t>”) until this Warrant is exercised in full (the “</w:t>
      </w:r>
      <w:r>
        <w:rPr>
          <w:rFonts w:ascii="Times New Roman" w:hAnsi="Times New Roman"/>
          <w:sz w:val="20"/>
          <w:u w:val="single"/>
        </w:rPr>
        <w:t>Termination Date</w:t>
      </w:r>
      <w:r>
        <w:rPr>
          <w:rFonts w:ascii="Times New Roman" w:hAnsi="Times New Roman"/>
          <w:sz w:val="20"/>
        </w:rPr>
        <w:t xml:space="preserve">”) but not thereafter, to subscribe for and purchase from </w:t>
      </w:r>
      <w:r>
        <w:rPr>
          <w:rFonts w:ascii="Times New Roman" w:hAnsi="Times New Roman"/>
          <w:b/>
          <w:sz w:val="20"/>
        </w:rPr>
        <w:t>VIVOSIM LABS, INC.</w:t>
      </w:r>
      <w:r>
        <w:rPr>
          <w:rFonts w:ascii="Times New Roman" w:hAnsi="Times New Roman"/>
          <w:sz w:val="20"/>
        </w:rPr>
        <w:t>, a Delaware corporation (the “</w:t>
      </w:r>
      <w:r>
        <w:rPr>
          <w:rFonts w:ascii="Times New Roman" w:hAnsi="Times New Roman"/>
          <w:sz w:val="20"/>
          <w:u w:val="single"/>
        </w:rPr>
        <w:t>Company</w:t>
      </w:r>
      <w:r>
        <w:rPr>
          <w:rFonts w:ascii="Times New Roman" w:hAnsi="Times New Roman"/>
          <w:sz w:val="20"/>
        </w:rPr>
        <w:t>”), up to ______ shares of Common Stock, par value $0.001 per share (the “</w:t>
      </w:r>
      <w:r>
        <w:rPr>
          <w:rFonts w:ascii="Times New Roman" w:hAnsi="Times New Roman"/>
          <w:sz w:val="20"/>
          <w:u w:val="single"/>
        </w:rPr>
        <w:t>Common Stock</w:t>
      </w:r>
      <w:r>
        <w:rPr>
          <w:rFonts w:ascii="Times New Roman" w:hAnsi="Times New Roman"/>
          <w:sz w:val="20"/>
        </w:rPr>
        <w:t>”), of the Company (as subject to adjustment hereunder, the “</w:t>
      </w:r>
      <w:r>
        <w:rPr>
          <w:rFonts w:ascii="Times New Roman" w:hAnsi="Times New Roman"/>
          <w:sz w:val="20"/>
          <w:u w:val="single"/>
        </w:rPr>
        <w:t>Warrant Shares</w:t>
      </w:r>
      <w:r>
        <w:rPr>
          <w:rFonts w:ascii="Times New Roman" w:hAnsi="Times New Roman"/>
          <w:sz w:val="20"/>
        </w:rPr>
        <w:t xml:space="preserve">”). The purchase price of one Warrant Share under this Warrant shall be equal to the Exercise Price, as defined in Section 2(b).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Definitions</w:t>
      </w:r>
      <w:r>
        <w:rPr>
          <w:rFonts w:ascii="Times New Roman" w:hAnsi="Times New Roman"/>
          <w:sz w:val="20"/>
        </w:rPr>
        <w:t>. Capitalized terms used and not otherwise defined herein shall have the meanings set forth in that certain Securities Purchase Agreement (the “</w:t>
      </w:r>
      <w:r>
        <w:rPr>
          <w:rFonts w:ascii="Times New Roman" w:hAnsi="Times New Roman"/>
          <w:sz w:val="20"/>
          <w:u w:val="single"/>
        </w:rPr>
        <w:t>Securities Purchase Agreement</w:t>
      </w:r>
      <w:r>
        <w:rPr>
          <w:rFonts w:ascii="Times New Roman" w:hAnsi="Times New Roman"/>
          <w:sz w:val="20"/>
        </w:rPr>
        <w:t xml:space="preserve">”), dated July 15, 2026, among the Company and the purchasers signatory thereto.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Exercise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Exercise of Warrant</w:t>
      </w:r>
      <w:r>
        <w:rPr>
          <w:rFonts w:ascii="Times New Roman" w:hAnsi="Times New Roman"/>
          <w:sz w:val="20"/>
        </w:rPr>
        <w:t>. Exercise of the purchase rights represented by this Warrant may be made, in whole or in part, at any time or times on or after the Initial Exercise Date and on or before the Termination Date by delivery to the Company of a duly executed facsimile copy or PDF copy submitted by e-mail (or e-mail attachment) of the Notice of Exercise in the form attached hereto as Exhibit A (the “</w:t>
      </w:r>
      <w:r>
        <w:rPr>
          <w:rFonts w:ascii="Times New Roman" w:hAnsi="Times New Roman"/>
          <w:sz w:val="20"/>
          <w:u w:val="single"/>
        </w:rPr>
        <w:t>Notice of Exercise</w:t>
      </w:r>
      <w:r>
        <w:rPr>
          <w:rFonts w:ascii="Times New Roman" w:hAnsi="Times New Roman"/>
          <w:sz w:val="20"/>
        </w:rPr>
        <w:t xml:space="preserve">”). Within the earlier of (i) two (2) Trading Days and (ii) the number of Trading Days comprising the Standard Settlement Period (as defined in Section 2(d)(i) herein) following the date of exercise as aforesaid, the Holder shall deliver the aggregate Exercise Price for the Warrant Shares specified in the applicable Notice of Exercise by wire transfer or cashier’s check drawn on a United States bank unless the cashless exercise procedure specified in Section 2(c) below is specified in the applicable Notice of Exercise. The Company shall have no obligation to inquire with respect to or otherwise confirm the authenticity of the signature(s) contained on any Notice of Exercise nor the authority of the person so executing such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this Warrant has been exercised in full, in which case, the Holder shall surrender this Warrant to the Company for cancellation within three (3) Trading Days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the date of such purchases. The Company shall deliver any objection to any Notice of Exercise within one (1) Business Day of receipt of such notice. Notwithstanding the foregoing, with respect to any Notice(s) of Exercise delivered on or prior to 12:00 p.m. (New York City time) on the Initial Exercise Date, which may be delivered at any time after the time of execution of the Securities Purchase Agreement, the Company agrees to deliver, or cause to be delivered, the Warrant Shares subject to such notice(s) by 4:00 p.m. (New York City time) on the Initial Exercise Date, and the Initial Exercise Date shall be the Warrant Share Delivery Date (as defined below) for purposes hereunder, provided that payment of the aggregate Exercise Price (other than in the case of a cashless exercise) is received by such Warrant Share Delivery Date. </w:t>
      </w:r>
      <w:r>
        <w:rPr>
          <w:rFonts w:ascii="Times New Roman" w:hAnsi="Times New Roman"/>
          <w:b/>
          <w:sz w:val="20"/>
        </w:rPr>
        <w:t>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there is no circumstance that would require the Company to net cash settle this Warrant.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Exercise Price</w:t>
      </w:r>
      <w:r>
        <w:rPr>
          <w:rFonts w:ascii="Times New Roman" w:hAnsi="Times New Roman"/>
          <w:sz w:val="20"/>
        </w:rPr>
        <w:t>. The aggregate exercise price of this Warrant, except for a nominal exercise price of $0.001 per Warrant Share, was pre-funded to the Company on or prior to the Initial Exercise Date and, consequently, no additional consideration (other than the nominal exercise price of $0.001 per Warrant Share) shall be required to be paid by the Holder to any Person to effect any exercise of this Warrant. The Holder shall not be entitled to the return or refund of all, or any portion, of such pre-paid aggregate exercise price under any circumstance or for any reason whatsoever, including in the event this Warrant shall not have been exercised prior to the Termination Date. The remaining unpaid exercise price per Warrant Share under this Warrant shall be $0.001, subject to adjustment hereunder (the “</w:t>
      </w:r>
      <w:r>
        <w:rPr>
          <w:rFonts w:ascii="Times New Roman" w:hAnsi="Times New Roman"/>
          <w:sz w:val="20"/>
          <w:u w:val="single"/>
        </w:rPr>
        <w:t>Exercise Price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Cashless Exercise</w:t>
      </w:r>
      <w:r>
        <w:rPr>
          <w:rFonts w:ascii="Times New Roman" w:hAnsi="Times New Roman"/>
          <w:sz w:val="20"/>
        </w:rPr>
        <w:t xml:space="preserve">. This Warrant may be exercised, in whole or in part, at such time by means of a “cashless exercise” in which the Holder shall be entitled to receive a number of Warrant Shares equal to the quotient obtained by dividing [(A-B) (X)] by (A), where: </w:t>
      </w:r>
    </w:p>
    <w:p>
      <w:pPr>
        <w:pStyle w:val="TextBody"/>
        <w:bidi w:val="0"/>
        <w:spacing w:before="120" w:after="0"/>
        <w:jc w:val="left"/>
        <w:rPr>
          <w:rFonts w:ascii="Times New Roman" w:hAnsi="Times New Roman"/>
          <w:sz w:val="20"/>
        </w:rPr>
      </w:pPr>
      <w:r>
        <w:rPr>
          <w:rFonts w:ascii="Times New Roman" w:hAnsi="Times New Roman"/>
          <w:sz w:val="20"/>
        </w:rPr>
        <w:t>(A)=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 of Regulation NMS promulgated under the federal securities laws) on such Trading Day, (ii) at the option of the Holder, either (x) the VWAP on the Trading Day immediately preceding the date of the applicable Notice of Exercise or (y) the Bid Price of the Common Stock on the principal Trading Market as reported by Bloomberg L.P. (“</w:t>
      </w:r>
      <w:r>
        <w:rPr>
          <w:rFonts w:ascii="Times New Roman" w:hAnsi="Times New Roman"/>
          <w:sz w:val="20"/>
          <w:u w:val="single"/>
        </w:rPr>
        <w:t>Bloomberg</w:t>
      </w:r>
      <w:r>
        <w:rPr>
          <w:rFonts w:ascii="Times New Roman" w:hAnsi="Times New Roman"/>
          <w:sz w:val="20"/>
        </w:rPr>
        <w:t xml:space="preserve">”)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 </w:t>
      </w:r>
    </w:p>
    <w:p>
      <w:pPr>
        <w:pStyle w:val="TextBody"/>
        <w:bidi w:val="0"/>
        <w:spacing w:before="120" w:after="0"/>
        <w:jc w:val="left"/>
        <w:rPr>
          <w:rFonts w:ascii="Times New Roman" w:hAnsi="Times New Roman"/>
          <w:sz w:val="20"/>
        </w:rPr>
      </w:pPr>
      <w:r>
        <w:rPr>
          <w:rFonts w:ascii="Times New Roman" w:hAnsi="Times New Roman"/>
          <w:sz w:val="20"/>
        </w:rPr>
        <w:t xml:space="preserve">(B) = the Exercise Price, as adjusted hereunder; and </w:t>
      </w:r>
    </w:p>
    <w:p>
      <w:pPr>
        <w:pStyle w:val="TextBody"/>
        <w:bidi w:val="0"/>
        <w:spacing w:before="120" w:after="0"/>
        <w:jc w:val="left"/>
        <w:rPr>
          <w:rFonts w:ascii="Times New Roman" w:hAnsi="Times New Roman"/>
          <w:sz w:val="20"/>
        </w:rPr>
      </w:pPr>
      <w:r>
        <w:rPr>
          <w:rFonts w:ascii="Times New Roman" w:hAnsi="Times New Roman"/>
          <w:sz w:val="20"/>
        </w:rPr>
        <w:t xml:space="preserve">(X) = the number of Warrant Shares that would be issuable upon exercise of this Warrant in accordance with the terms of this Warrant if such exercise were by means of a cash exercise rather than a cashless exercise. </w:t>
      </w:r>
    </w:p>
    <w:p>
      <w:pPr>
        <w:pStyle w:val="TextBody"/>
        <w:bidi w:val="0"/>
        <w:spacing w:before="240" w:after="0"/>
        <w:jc w:val="left"/>
        <w:rPr>
          <w:rFonts w:ascii="Times New Roman" w:hAnsi="Times New Roman"/>
          <w:sz w:val="20"/>
        </w:rPr>
      </w:pPr>
      <w:r>
        <w:rPr>
          <w:rFonts w:ascii="Times New Roman" w:hAnsi="Times New Roman"/>
          <w:sz w:val="20"/>
        </w:rPr>
        <w:t xml:space="preserve">If Warrant Shares are issued in such a cashless exercise, the parties acknowledge and agree that in accordance with Section 3(a)(9) of the Securities Act, the Warrant Shares shall take on the registered characteristics of this Warrant. The Company agrees not to take any position contrary to this Section 2(c). </w:t>
      </w:r>
    </w:p>
    <w:p>
      <w:pPr>
        <w:pStyle w:val="TextBody"/>
        <w:bidi w:val="0"/>
        <w:spacing w:before="240" w:after="0"/>
        <w:jc w:val="left"/>
        <w:rPr/>
      </w:pPr>
      <w:r>
        <w:rPr/>
        <w:t>“</w:t>
      </w:r>
      <w:r>
        <w:rPr>
          <w:rFonts w:ascii="Times New Roman" w:hAnsi="Times New Roman"/>
          <w:sz w:val="20"/>
          <w:u w:val="single"/>
        </w:rPr>
        <w:t>Bid Price</w:t>
      </w:r>
      <w:r>
        <w:rPr>
          <w:rFonts w:ascii="Times New Roman" w:hAnsi="Times New Roman"/>
          <w:sz w:val="20"/>
        </w:rPr>
        <w:t xml:space="preserve">”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(based on a Trading Day from 9:30 a.m. (New York City time) to 4:02 p.m. (New York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City time)), (b) if OTCQB or OTCQX is not a Trading Market, the VWAP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 </w:t>
      </w:r>
    </w:p>
    <w:p>
      <w:pPr>
        <w:pStyle w:val="TextBody"/>
        <w:bidi w:val="0"/>
        <w:spacing w:before="240" w:after="0"/>
        <w:jc w:val="left"/>
        <w:rPr/>
      </w:pPr>
      <w:r>
        <w:rPr/>
        <w:t>“</w:t>
      </w:r>
      <w:r>
        <w:rPr>
          <w:rFonts w:ascii="Times New Roman" w:hAnsi="Times New Roman"/>
          <w:sz w:val="20"/>
          <w:u w:val="single"/>
        </w:rPr>
        <w:t>VWAP</w:t>
      </w:r>
      <w:r>
        <w:rPr>
          <w:rFonts w:ascii="Times New Roman" w:hAnsi="Times New Roman"/>
          <w:sz w:val="20"/>
        </w:rPr>
        <w:t xml:space="preserve">”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Mechanics of Exercise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Delivery of Warrant Shares Upon Exercise</w:t>
      </w:r>
      <w:r>
        <w:rPr>
          <w:rFonts w:ascii="Times New Roman" w:hAnsi="Times New Roman"/>
          <w:sz w:val="20"/>
        </w:rPr>
        <w:t>. The Company shall cause the Warrant Shares purchased hereunder to be transmitted to the Holder by crediting the account of the Holder’s or its designee’s balance account with The Depository Trust Company through its Deposit or Withdrawal at Custodian system (“</w:t>
      </w:r>
      <w:r>
        <w:rPr>
          <w:rFonts w:ascii="Times New Roman" w:hAnsi="Times New Roman"/>
          <w:sz w:val="20"/>
          <w:u w:val="single"/>
        </w:rPr>
        <w:t>DWAC</w:t>
      </w:r>
      <w:r>
        <w:rPr>
          <w:rFonts w:ascii="Times New Roman" w:hAnsi="Times New Roman"/>
          <w:sz w:val="20"/>
        </w:rPr>
        <w:t>”) if the Company is then a participant in such system and either (A) there is an effective registration statement permitting the issuance of the Warrant Shares to, or resale of the Warrant Shares by, the Holder or (B) this Warrant is being exercised via cashless exercise, and otherwise by physical delivery of the Warrant Shares, registered in the Company’s share register in the name of the Holder or its designee, for the number of Warrant Shares to which the Holder is entitled pursuant to such exercise to the address specified by the Holder in the Notice of Exercise by the date that is the earliest of (i) two (2) Trading Days after the delivery to the Company of the Notice of Exercise, (ii) one (1) Trading Day after delivery of the aggregate Exercise Price to the Company, and (iii) the number of Trading Days comprising the Standard Settlement Period after the delivery to the Company of the Notice of Exercise (such date, the “</w:t>
      </w:r>
      <w:r>
        <w:rPr>
          <w:rFonts w:ascii="Times New Roman" w:hAnsi="Times New Roman"/>
          <w:sz w:val="20"/>
          <w:u w:val="single"/>
        </w:rPr>
        <w:t>Warrant Share Delivery Date</w:t>
      </w:r>
      <w:r>
        <w:rPr>
          <w:rFonts w:ascii="Times New Roman" w:hAnsi="Times New Roman"/>
          <w:sz w:val="20"/>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within the earlier of (i) two (2) Trading Days and (ii) the number of Trading Days comprising the Standard Settlement Period following delivery of the Notice of Exercise; provided that payment of the aggregate Exercise Price (other than in the case of a cashless exercise) is received by such date. If the Company fails for any reason to deliver to the Holder the Warrant Shares subject to a Notice of Exercise by the Warrant Share Delivery Date applicable to such exercise, the Holder may, upon written demand to the Company, require the Company to pay to the Holder, in cash, as liquidated damages and not as a penalty, for each $1,000 of Warrant Shares subject to such exercise (based on the VWAP of the Common Stock on the date of the applicable Notice of Exercise), $10 per Trading Day (increasing to $20 per Trading Day on the fifth Trading Day after the Warrant Share Delivery Date) for each Trading Day after such Warrant Share Delivery Date until such Warrant Shares are delivered or Holder rescinds such exercise. The Company agrees to maintain a registrar (which may be the Transfer Agent) that is a participant in the FAST program so long as this Warrant remains outstanding and exercisable. As used herein, “</w:t>
      </w:r>
      <w:r>
        <w:rPr>
          <w:rFonts w:ascii="Times New Roman" w:hAnsi="Times New Roman"/>
          <w:sz w:val="20"/>
          <w:u w:val="single"/>
        </w:rPr>
        <w:t>Standard Settlement Period</w:t>
      </w:r>
      <w:r>
        <w:rPr>
          <w:rFonts w:ascii="Times New Roman" w:hAnsi="Times New Roman"/>
          <w:sz w:val="20"/>
        </w:rPr>
        <w:t xml:space="preserve">” means the standard settlement period, expressed in a number of Trading Days (including no Trading Days if the Settlement Date is the trade date), on the Company’s primary Trading Market with respect to the Common Stock as in effect on the date of delivery of the Notice of Exercise.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Delivery of New Warrants Upon Exercise</w:t>
      </w:r>
      <w:r>
        <w:rPr>
          <w:rFonts w:ascii="Times New Roman" w:hAnsi="Times New Roman"/>
          <w:sz w:val="20"/>
        </w:rPr>
        <w:t xml:space="preserve">.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 </w:t>
      </w:r>
    </w:p>
    <w:p>
      <w:pPr>
        <w:pStyle w:val="TextBody"/>
        <w:bidi w:val="0"/>
        <w:spacing w:before="24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Rescission Rights</w:t>
      </w:r>
      <w:r>
        <w:rPr>
          <w:rFonts w:ascii="Times New Roman" w:hAnsi="Times New Roman"/>
          <w:sz w:val="20"/>
        </w:rPr>
        <w:t xml:space="preserve">. If the Company fails to cause the Transfer Agent to transmit to the Holder the Warrant Shares pursuant to Section 2(d)(i) by the Warrant Share Delivery Date, then the Holder will have the right to rescind such exercise by delivering written notice to the Company at any time prior to the Company delivering such Warrant Shares. </w:t>
      </w:r>
    </w:p>
    <w:p>
      <w:pPr>
        <w:pStyle w:val="TextBody"/>
        <w:bidi w:val="0"/>
        <w:spacing w:before="240" w:after="0"/>
        <w:jc w:val="left"/>
        <w:rPr>
          <w:rFonts w:ascii="Times New Roman" w:hAnsi="Times New Roman"/>
          <w:sz w:val="20"/>
        </w:rPr>
      </w:pPr>
      <w:r>
        <w:rPr>
          <w:rFonts w:ascii="Times New Roman" w:hAnsi="Times New Roman"/>
          <w:sz w:val="20"/>
        </w:rPr>
        <w:t xml:space="preserve">(iv) </w:t>
      </w:r>
      <w:r>
        <w:rPr>
          <w:rFonts w:ascii="Times New Roman" w:hAnsi="Times New Roman"/>
          <w:sz w:val="20"/>
          <w:u w:val="single"/>
        </w:rPr>
        <w:t>Compensation for Buy-In on Failure to Timely Deliver Warrant Shares Upon Exercise</w:t>
      </w:r>
      <w:r>
        <w:rPr>
          <w:rFonts w:ascii="Times New Roman" w:hAnsi="Times New Roman"/>
          <w:sz w:val="20"/>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(other than such failure that is solely due to any action or inaction by the Holder with respect to such exercise),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 w:hAnsi="Times New Roman"/>
          <w:sz w:val="20"/>
          <w:u w:val="single"/>
        </w:rPr>
        <w:t>Buy-In</w:t>
      </w:r>
      <w:r>
        <w:rPr>
          <w:rFonts w:ascii="Times New Roman" w:hAnsi="Times New Roman"/>
          <w:sz w:val="20"/>
        </w:rPr>
        <w:t xml:space="preserve">”),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but did not timely deliver, to the Holder in connection with the exercise at issue times (2) the price at which the sell order giving rise to such purchase obligation was executed, and (B) at the option of the Holder, either reinstate the portion of this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shares of Common Stock having a total purchase price of $11,000 to cover a Buy-In with respect to an attempted exercise of Warrants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this Warrant as required pursuant to the terms hereof. </w:t>
      </w:r>
    </w:p>
    <w:p>
      <w:pPr>
        <w:pStyle w:val="TextBody"/>
        <w:bidi w:val="0"/>
        <w:spacing w:before="240" w:after="0"/>
        <w:jc w:val="left"/>
        <w:rPr>
          <w:rFonts w:ascii="Times New Roman" w:hAnsi="Times New Roman"/>
          <w:sz w:val="20"/>
        </w:rPr>
      </w:pPr>
      <w:r>
        <w:rPr>
          <w:rFonts w:ascii="Times New Roman" w:hAnsi="Times New Roman"/>
          <w:sz w:val="20"/>
        </w:rPr>
        <w:t xml:space="preserve">(v) </w:t>
      </w:r>
      <w:r>
        <w:rPr>
          <w:rFonts w:ascii="Times New Roman" w:hAnsi="Times New Roman"/>
          <w:sz w:val="20"/>
          <w:u w:val="single"/>
        </w:rPr>
        <w:t>No Fractional Shares or Scrip</w:t>
      </w:r>
      <w:r>
        <w:rPr>
          <w:rFonts w:ascii="Times New Roman" w:hAnsi="Times New Roman"/>
          <w:sz w:val="20"/>
        </w:rPr>
        <w:t xml:space="preserve">.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(vi) </w:t>
      </w:r>
      <w:r>
        <w:rPr>
          <w:rFonts w:ascii="Times New Roman" w:hAnsi="Times New Roman"/>
          <w:sz w:val="20"/>
          <w:u w:val="single"/>
        </w:rPr>
        <w:t>Charges, Taxes and Expenses</w:t>
      </w:r>
      <w:r>
        <w:rPr>
          <w:rFonts w:ascii="Times New Roman" w:hAnsi="Times New Roman"/>
          <w:sz w:val="20"/>
        </w:rPr>
        <w:t>.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provided, however, that, in the event that Warrant Shares are to be issued in a name other than the name of the Holder, this Warrant when surrendered for exercise shall be accompanied by the Assignment Form attached hereto as Exhibit B (the “</w:t>
      </w:r>
      <w:r>
        <w:rPr>
          <w:rFonts w:ascii="Times New Roman" w:hAnsi="Times New Roman"/>
          <w:sz w:val="20"/>
          <w:u w:val="single"/>
        </w:rPr>
        <w:t>Assignment Form</w:t>
      </w:r>
      <w:r>
        <w:rPr>
          <w:rFonts w:ascii="Times New Roman" w:hAnsi="Times New Roman"/>
          <w:sz w:val="20"/>
        </w:rPr>
        <w:t xml:space="preserve">”)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 </w:t>
      </w:r>
    </w:p>
    <w:p>
      <w:pPr>
        <w:pStyle w:val="TextBody"/>
        <w:bidi w:val="0"/>
        <w:spacing w:before="240" w:after="0"/>
        <w:jc w:val="left"/>
        <w:rPr>
          <w:rFonts w:ascii="Times New Roman" w:hAnsi="Times New Roman"/>
          <w:sz w:val="20"/>
        </w:rPr>
      </w:pPr>
      <w:r>
        <w:rPr>
          <w:rFonts w:ascii="Times New Roman" w:hAnsi="Times New Roman"/>
          <w:sz w:val="20"/>
        </w:rPr>
        <w:t xml:space="preserve">(vii) </w:t>
      </w:r>
      <w:r>
        <w:rPr>
          <w:rFonts w:ascii="Times New Roman" w:hAnsi="Times New Roman"/>
          <w:sz w:val="20"/>
          <w:u w:val="single"/>
        </w:rPr>
        <w:t>Closing of Books</w:t>
      </w:r>
      <w:r>
        <w:rPr>
          <w:rFonts w:ascii="Times New Roman" w:hAnsi="Times New Roman"/>
          <w:sz w:val="20"/>
        </w:rPr>
        <w:t xml:space="preserve">. The Company will not close its stockholder books or records in any manner which prevents the timely exercise of this Warrant, pursuant to the terms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(viii) </w:t>
      </w:r>
      <w:r>
        <w:rPr>
          <w:rFonts w:ascii="Times New Roman" w:hAnsi="Times New Roman"/>
          <w:sz w:val="20"/>
          <w:u w:val="single"/>
        </w:rPr>
        <w:t>Holder’s Exercise Limitations</w:t>
      </w:r>
      <w:r>
        <w:rPr>
          <w:rFonts w:ascii="Times New Roman" w:hAnsi="Times New Roman"/>
          <w:sz w:val="20"/>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(i) the Holder’s Affiliates, (ii) any other Persons acting as a group together with the Holder or any of the Holder’s Affiliates, and (iii) any other Persons whose beneficial ownership of shares of Common Stock would or could be aggregated with the Holder’s for the purposes of Section 13(d) (such Persons, “</w:t>
      </w:r>
      <w:r>
        <w:rPr>
          <w:rFonts w:ascii="Times New Roman" w:hAnsi="Times New Roman"/>
          <w:sz w:val="20"/>
          <w:u w:val="single"/>
        </w:rPr>
        <w:t>Attribution Parties</w:t>
      </w:r>
      <w:r>
        <w:rPr>
          <w:rFonts w:ascii="Times New Roman" w:hAnsi="Times New Roman"/>
          <w:sz w:val="20"/>
        </w:rPr>
        <w:t>”)), would beneficially own in excess of the Beneficial Ownership Limitation (as defined below). For purposes of the foregoing sentence, the number of shares of Common Stock beneficially owned by the Holder and its Affiliates and Attribution Parties shall include the number of Warrant Shares issuable upon exercise of this Warrant with respect to which such determination is being made, but shall exclude the number of Warrant Shares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2(d)(viii),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2(d)(viii) applies, the determination of whether this Warrant is exercisable (in relation to other securities owned by the Holder together with any Affiliates and Attribution Parties) and of which portion of this Warrant is exercisable shall be in the sole discretion of, and shall be the sole responsibility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and shall have no liability for exercises of this Warrant that are not in compliance with the Beneficial Ownership Limitation. In addition, a determination as to any group status as contemplated above shall be determined in accordance with Section 13(d) of the Exchange Act and the rules and regulations promulgated thereunder, and the Company shall have no obligation to verify or confirm the accuracy of such determination and shall have no liability for exercises of this Warrant that are not in compliance with the Beneficial Ownership Limitation. For purposes of this Section 2(d)(viii), in determining the number of outstanding shares of Common Stock, a Holder may rely on the number of outstanding shares of Common Stock as reflected in (A) the Company’s most recent periodic or annual report filed with the Securities and Exchange Commission (the “</w:t>
      </w:r>
      <w:r>
        <w:rPr>
          <w:rFonts w:ascii="Times New Roman" w:hAnsi="Times New Roman"/>
          <w:sz w:val="20"/>
          <w:u w:val="single"/>
        </w:rPr>
        <w:t>Commission</w:t>
      </w:r>
      <w:r>
        <w:rPr>
          <w:rFonts w:ascii="Times New Roman" w:hAnsi="Times New Roman"/>
          <w:sz w:val="20"/>
        </w:rPr>
        <w:t>”), as the case may be, (B) a more recent public announcement by the Company or (C) a more recent written notice by the Company or the Transfer Agent setting forth the number of shares of Common Stock outstanding. Upon the written or oral request of a Holder, the Company shall within one (1)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Times New Roman" w:hAnsi="Times New Roman"/>
          <w:sz w:val="20"/>
          <w:u w:val="single"/>
        </w:rPr>
        <w:t>Beneficial Ownership Limitation</w:t>
      </w:r>
      <w:r>
        <w:rPr>
          <w:rFonts w:ascii="Times New Roman" w:hAnsi="Times New Roman"/>
          <w:sz w:val="20"/>
        </w:rPr>
        <w:t xml:space="preserve">” shall be [4.99/9.99]% of the number of shares of Common Stock outstanding immediately after giving effect to the issuance of the Warrant Shares issuable upon exercise of this Warrant. The Holder, upon notice to the Company, may increase or decrease the Beneficial Ownership Limitation provisions of this Section 2(d)(viii), provided that the Beneficial Ownership Limitation in no event exceeds 9.99% of the number of shares of Common Stock outstanding immediately after giving effect to the issuance of the Warrant Shares upon exercise of this Warrant held by the Holder and the provisions of this Section 2(d)(viii) shall continue to apply. Any increase in the Beneficial Ownership Limitation will not be effective until the 61st day after such notice is delivered to the Company. The provisions of this paragraph shall be construed and implemented in a manner otherwise than in strict conformity with the terms of this Section 2(d)(viii)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 If this Warrant is unexercisable as a result of the Holder’s Beneficial Ownership Limitation, no alternate consideration shall be owing to the 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Certain Adjustments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Stock Dividends and Splits</w:t>
      </w:r>
      <w:r>
        <w:rPr>
          <w:rFonts w:ascii="Times New Roman" w:hAnsi="Times New Roman"/>
          <w:sz w:val="20"/>
        </w:rPr>
        <w:t xml:space="preserve">. If the Company, at any time while this Warrant is outstanding: (i) pays a stock dividend or otherwise makes a distribution or distributions on shares of Common Stock or any other equity or equity equivalent securities payable in shares of Common Stock (which, for avoidance of doubt, shall not include any Warrant Shares issued by the Company upon exercise of this Warrant), (ii) subdivides outstanding shares of Common Stock into a larger number of shares, (iii) combines (including by way of stock share split) outstanding shares of Common Stock into a smaller number of shares, or (iv) issues by reclassification of shares of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remains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Subsequent Rights Offerings</w:t>
      </w:r>
      <w:r>
        <w:rPr>
          <w:rFonts w:ascii="Times New Roman" w:hAnsi="Times New Roman"/>
          <w:sz w:val="20"/>
        </w:rPr>
        <w:t>. In addition to any adjustments pursuant to Section 3(a) above, if at any time while this Warrant is outstanding the Company grants, issues or sells any securities of the Company which would entitle the holder thereof to acquire Common Stock or rights to purchase stock, warrants, securities or other property pro rata to the record holders of all of the shares of Common Stock (the “</w:t>
      </w:r>
      <w:r>
        <w:rPr>
          <w:rFonts w:ascii="Times New Roman" w:hAnsi="Times New Roman"/>
          <w:sz w:val="20"/>
          <w:u w:val="single"/>
        </w:rPr>
        <w:t>Purchase Rights</w:t>
      </w:r>
      <w:r>
        <w:rPr>
          <w:rFonts w:ascii="Times New Roman" w:hAnsi="Times New Roman"/>
          <w:sz w:val="20"/>
        </w:rPr>
        <w:t xml:space="preserve">”),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Pro Rata Distributions</w:t>
      </w:r>
      <w:r>
        <w:rPr>
          <w:rFonts w:ascii="Times New Roman" w:hAnsi="Times New Roman"/>
          <w:sz w:val="20"/>
        </w:rPr>
        <w:t>.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and excluding a stock split) (a “</w:t>
      </w:r>
      <w:r>
        <w:rPr>
          <w:rFonts w:ascii="Times New Roman" w:hAnsi="Times New Roman"/>
          <w:sz w:val="20"/>
          <w:u w:val="single"/>
        </w:rPr>
        <w:t>Distribution</w:t>
      </w:r>
      <w:r>
        <w:rPr>
          <w:rFonts w:ascii="Times New Roman" w:hAnsi="Times New Roman"/>
          <w:sz w:val="20"/>
        </w:rPr>
        <w:t xml:space="preserve">”),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(provided, however,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Fundamental Transaction</w:t>
      </w:r>
      <w:r>
        <w:rPr>
          <w:rFonts w:ascii="Times New Roman" w:hAnsi="Times New Roman"/>
          <w:sz w:val="20"/>
        </w:rPr>
        <w:t xml:space="preserve">. If, at any time while this Warrant is outstanding, (i) the Company, directly or indirectly, in one or more related transactions effects any merger or consolidation of the Company with or into another Person and the Company is not the surviving entity (other than reincorporation in a different state or a similar transaction pursuant to which the surviving company remains a public company), (ii) the Company (and all of its subsidiaries, taken as a whole), directly or indirectly, effects any sale, lease, license, assignment, transfer, conveyance or other disposition of all or substantially all of the Company’s (including its subsidiaries, taken as a whole) assets in one or a series of related transactions, (iii) any, direct or indirect, purchase offer, tender offer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exchange offer (whether by the Company or another Person) is completed pursuant to which holders of Common Stock are permitted to sell, tender or exchange their shares for other securities, cash or property and has been accepted by the holders of more than 67% of the outstanding voting power of the common equity of the Company,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(other than a stock split),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more than 67% of the outstanding voting power of the common equity of the Company, (each, a “</w:t>
      </w:r>
      <w:r>
        <w:rPr>
          <w:rFonts w:ascii="Times New Roman" w:hAnsi="Times New Roman"/>
          <w:sz w:val="20"/>
          <w:u w:val="single"/>
        </w:rPr>
        <w:t>Fundamental Transaction</w:t>
      </w:r>
      <w:r>
        <w:rPr>
          <w:rFonts w:ascii="Times New Roman" w:hAnsi="Times New Roman"/>
          <w:sz w:val="20"/>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2(d)(viii) on the exercise of this Warrant), the number of shares of Common Stock of the successor or acquiring corporation or of the Company, if it is the surviving corporation, and any additional consideration (the “</w:t>
      </w:r>
      <w:r>
        <w:rPr>
          <w:rFonts w:ascii="Times New Roman" w:hAnsi="Times New Roman"/>
          <w:sz w:val="20"/>
          <w:u w:val="single"/>
        </w:rPr>
        <w:t>Alternate Consideration</w:t>
      </w:r>
      <w:r>
        <w:rPr>
          <w:rFonts w:ascii="Times New Roman" w:hAnsi="Times New Roman"/>
          <w:sz w:val="20"/>
        </w:rPr>
        <w:t>”) receivable as a result of such Fundamental Transaction by a holder of the number of shares of Common Stock for which this Warrant is exercisable immediately prior to such Fundamental Transaction (without regard to any limitation in Section 2(d)(viii)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The Company shall cause any successor entity in a Fundamental Transaction in which the Company is not the survivor (the “</w:t>
      </w:r>
      <w:r>
        <w:rPr>
          <w:rFonts w:ascii="Times New Roman" w:hAnsi="Times New Roman"/>
          <w:sz w:val="20"/>
          <w:u w:val="single"/>
        </w:rPr>
        <w:t>Successor Entity</w:t>
      </w:r>
      <w:r>
        <w:rPr>
          <w:rFonts w:ascii="Times New Roman" w:hAnsi="Times New Roman"/>
          <w:sz w:val="20"/>
        </w:rPr>
        <w:t xml:space="preserve">”) to assume in writing all of the obligations of the Company under this Warrant and the other Transaction Documents in accordance with the provisions of this Section 3(e) pursuant to written agreements in form and substance reasonably satisfactory to the Holder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date of such Fundamental Transaction, the provisions of this Warrant and the other Transaction Documents referring to the “Company” shall refer instead to the Successor Entity), and may exercise every right and power of the Company and shall assume all of the obligations of the Company under this Warrant and the other Transaction Documents with the same effect as if such Successor Entity had been named as the Company herein.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Calculations</w:t>
      </w:r>
      <w:r>
        <w:rPr>
          <w:rFonts w:ascii="Times New Roman" w:hAnsi="Times New Roman"/>
          <w:sz w:val="20"/>
        </w:rPr>
        <w:t xml:space="preserve">. All calculations under this Section 3 shall be made to the nearest cent or the nearest 1/100th of a share of Common Stock, as the case may be. For purposes of this Section 3, the number of shares of Common Stock deemed to be issued and outstanding as of a given date shall be the sum of the number of shares of Common Stock (excluding treasury shares, if any) issued and outstanding.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Notice to Holder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Adjustment to Exercise Price</w:t>
      </w:r>
      <w:r>
        <w:rPr>
          <w:rFonts w:ascii="Times New Roman" w:hAnsi="Times New Roman"/>
          <w:sz w:val="20"/>
        </w:rPr>
        <w:t xml:space="preserve">. Whenever the Exercise Price is adjusted pursuant to any provision of this Section 3, the Company shall promptly deliver to the Holder by facsimile or email a notice setting forth the Exercise Price after such adjustment and any resulting adjustment to the number of Warrant Shares and setting forth a brief statement of the facts requiring such adjustment.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Notice to Allow Exercise by Holder</w:t>
      </w:r>
      <w:r>
        <w:rPr>
          <w:rFonts w:ascii="Times New Roman" w:hAnsi="Times New Roman"/>
          <w:sz w:val="20"/>
        </w:rPr>
        <w:t xml:space="preserve">. If, while this Warrant is outstanding, (A) the Company declares a dividend (or any other distribution in whatever form (other than a stock split)) on the shares of Common Stock, (B) the Company declares a special nonrecurring cash dividend on, or a redemption of, the shares of Common Stock, (C) the Company authorizes the granting to all holders of the shares of Common Stock rights or warrants to subscribe for or purchase any shares of capital stock of any class or of any rights, (D) the approval of any stockholders of the Company is required in connection with a Fundamental Transaction, or (E) the Company authorizes the voluntary or involuntary dissolution, liquidation or winding up of the affairs of the Company, then, in each case, the Company shall cause to be delivered by facsimile or email to the Holder at its last facsimile number or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shares of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shares of Common Stock of record shall be entitled to exchange their shares of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and provided, further that no notice shall be required if the information is disseminated in a press release or document filed with the Securities and Exchange Commission. To the extent that any notice provided in this Warrant constitutes, or contains, material, non-public information regarding the Company or any of its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Voluntary Adjustment By Company</w:t>
      </w:r>
      <w:r>
        <w:rPr>
          <w:rFonts w:ascii="Times New Roman" w:hAnsi="Times New Roman"/>
          <w:sz w:val="20"/>
        </w:rPr>
        <w:t xml:space="preserve">. Subject to the rules and regulations of the Trading Market, the Company may at any time during the term of this Warrant, subject to the prior written consent of the Holder, reduce the then current Exercise Price to any amount and for any period of time deemed appropriate by the board of directors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Transfer of Warrant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Transferability</w:t>
      </w:r>
      <w:r>
        <w:rPr>
          <w:rFonts w:ascii="Times New Roman" w:hAnsi="Times New Roman"/>
          <w:sz w:val="20"/>
        </w:rPr>
        <w:t xml:space="preserve">. Subject to compliance with any applicable securities laws, this Warrant and all rights hereunder (including, without limitation, any registration rights) are transferable, in whole or in part, upon surrender of this Warrant at the principal office of the Company or its designated agent, together with a written Assignment Form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This Warrant, if properly assigned in accordance herewith, may be exercised by a new holder for the purchase of Warrant Shares without having a new Warrant issued.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New Warrants</w:t>
      </w:r>
      <w:r>
        <w:rPr>
          <w:rFonts w:ascii="Times New Roman" w:hAnsi="Times New Roman"/>
          <w:sz w:val="20"/>
        </w:rPr>
        <w:t xml:space="preserve">.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this Warrant or the Warrants to be divided or combined in accordance with such notice. All Warrants issued on transfers or exchanges shall be dated the initial issuance date of this Warrant and shall be identical with this Warrant except as to the number of Warrant Shares issuable pursuant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Warrant Register</w:t>
      </w:r>
      <w:r>
        <w:rPr>
          <w:rFonts w:ascii="Times New Roman" w:hAnsi="Times New Roman"/>
          <w:sz w:val="20"/>
        </w:rPr>
        <w:t>. The Company shall register this Warrant, upon records to be maintained by the Company for that purpose (the “</w:t>
      </w:r>
      <w:r>
        <w:rPr>
          <w:rFonts w:ascii="Times New Roman" w:hAnsi="Times New Roman"/>
          <w:sz w:val="20"/>
          <w:u w:val="single"/>
        </w:rPr>
        <w:t>Warrant Register</w:t>
      </w:r>
      <w:r>
        <w:rPr>
          <w:rFonts w:ascii="Times New Roman" w:hAnsi="Times New Roman"/>
          <w:sz w:val="20"/>
        </w:rPr>
        <w:t xml:space="preserve">”),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Miscellaneous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Currency</w:t>
      </w:r>
      <w:r>
        <w:rPr>
          <w:rFonts w:ascii="Times New Roman" w:hAnsi="Times New Roman"/>
          <w:sz w:val="20"/>
        </w:rPr>
        <w:t>. Unless otherwise indicated, all dollar amounts referred to in this Warrant are in United States Dollars (“</w:t>
      </w:r>
      <w:r>
        <w:rPr>
          <w:rFonts w:ascii="Times New Roman" w:hAnsi="Times New Roman"/>
          <w:sz w:val="20"/>
          <w:u w:val="single"/>
        </w:rPr>
        <w:t>U.S. Dollars</w:t>
      </w:r>
      <w:r>
        <w:rPr>
          <w:rFonts w:ascii="Times New Roman" w:hAnsi="Times New Roman"/>
          <w:sz w:val="20"/>
        </w:rPr>
        <w:t>”). All amounts owing under this Warrant shall be paid in U.S. Dollars. All amounts denominated in other currencies shall be converted in the U.S. Dollar equivalent amount in accordance with the Exchange Rate on the date of calculation. “</w:t>
      </w:r>
      <w:r>
        <w:rPr>
          <w:rFonts w:ascii="Times New Roman" w:hAnsi="Times New Roman"/>
          <w:sz w:val="20"/>
          <w:u w:val="single"/>
        </w:rPr>
        <w:t>Exchange Rate</w:t>
      </w:r>
      <w:r>
        <w:rPr>
          <w:rFonts w:ascii="Times New Roman" w:hAnsi="Times New Roman"/>
          <w:sz w:val="20"/>
        </w:rPr>
        <w:t xml:space="preserve">” means, in relation to any amount of currency to be converted into U.S. Dollars pursuant to this Warrant, the U.S. Dollar exchange rate as published in the Wall Street Journal (NY edition) on the relevant date of calculation.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No Rights as Stockholder Until Exercise; No Settlement in Cash</w:t>
      </w:r>
      <w:r>
        <w:rPr>
          <w:rFonts w:ascii="Times New Roman" w:hAnsi="Times New Roman"/>
          <w:sz w:val="20"/>
        </w:rPr>
        <w:t xml:space="preserve">. This Warrant does not entitle the Holder to any voting rights, dividends or other rights as a stockholder of the Company prior to the exercise hereof as set forth in Section 2(d)(i), except as expressly set forth in Section 3. Without limiting any rights of a Holder to receive Warrant Shares on a “cashless exercise” pursuant to Section 2(c) or to receive cash payments pursuant to Section 2(d)(i) and Section 2(d)(iv) herein, in no event shall the Company be required to net cash settle an exercise of this Warrant.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Loss, Theft, Destruction or Mutilation of Warrant</w:t>
      </w:r>
      <w:r>
        <w:rPr>
          <w:rFonts w:ascii="Times New Roman" w:hAnsi="Times New Roman"/>
          <w:sz w:val="20"/>
        </w:rPr>
        <w:t xml:space="preserve">.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this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Saturdays, Sundays, Holidays, etc</w:t>
      </w:r>
      <w:r>
        <w:rPr>
          <w:rFonts w:ascii="Times New Roman" w:hAnsi="Times New Roman"/>
          <w:sz w:val="20"/>
        </w:rPr>
        <w:t xml:space="preserve">. If the last or appointed day for the taking of any action or the expiration of any right required or granted herein shall not be a Trading Day, then such action may be taken or such right may be exercised on the next succeeding Trading Day.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Authorized Shares</w:t>
      </w:r>
      <w:r>
        <w:rPr>
          <w:rFonts w:ascii="Times New Roman" w:hAnsi="Times New Roman"/>
          <w:sz w:val="20"/>
        </w:rPr>
        <w:t xml:space="preserve">. The Company covenants that, during the period this Warrant is outstanding, it will reserve from its authorized and unissued shares of Common Stock a sufficient number of shares to provide for the issuance of the Warrant Shares underlying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and delivered,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 </w:t>
      </w:r>
    </w:p>
    <w:p>
      <w:pPr>
        <w:pStyle w:val="TextBody"/>
        <w:bidi w:val="0"/>
        <w:spacing w:before="240" w:after="0"/>
        <w:jc w:val="left"/>
        <w:rPr>
          <w:rFonts w:ascii="Times New Roman" w:hAnsi="Times New Roman"/>
          <w:sz w:val="20"/>
        </w:rPr>
      </w:pPr>
      <w:r>
        <w:rPr>
          <w:rFonts w:ascii="Times New Roman" w:hAnsi="Times New Roman"/>
          <w:sz w:val="20"/>
        </w:rPr>
        <w:t xml:space="preserve">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Jurisdiction</w:t>
      </w:r>
      <w:r>
        <w:rPr>
          <w:rFonts w:ascii="Times New Roman" w:hAnsi="Times New Roman"/>
          <w:sz w:val="20"/>
        </w:rPr>
        <w:t xml:space="preserve">. All questions concerning the construction, validity, enforcement and interpretation of this Warrant shall be determined in accordance with the provisions of the Securities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Restrictions</w:t>
      </w:r>
      <w:r>
        <w:rPr>
          <w:rFonts w:ascii="Times New Roman" w:hAnsi="Times New Roman"/>
          <w:sz w:val="20"/>
        </w:rPr>
        <w:t xml:space="preserve">. The Holder acknowledges that the Warrant Shares acquired upon the exercise of this Warrant, if not registered, and if the Holder does not utilize cashless exercise, will have restrictions upon resale imposed by state, federal or foreign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Nonwaiver and Expenses</w:t>
      </w:r>
      <w:r>
        <w:rPr>
          <w:rFonts w:ascii="Times New Roman" w:hAnsi="Times New Roman"/>
          <w:sz w:val="20"/>
        </w:rPr>
        <w:t xml:space="preserve">. No course of dealing or any delay or failure to exercise any right hereunder on the part of Holder shall operate as a waiver of such right or otherwise prejudice the Holder’s rights, powers or remedies. Without limiting any other provision of this Warrant or the Securities Purchase Agreement,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Notices</w:t>
      </w:r>
      <w:r>
        <w:rPr>
          <w:rFonts w:ascii="Times New Roman" w:hAnsi="Times New Roman"/>
          <w:sz w:val="20"/>
        </w:rPr>
        <w:t>. Any notice, request or other document required or permitted to be given or delivered by the Holder to the Company shall be delivered, mailed or sent to the Company at 11555 Sorrento Valley Road, Suite 100, San Diego, CA 92121, Attention: Executive Chairman, Email: kemurph@vivosim.ai, with a copy to Paul Hastings LLP, 1117 S. California Avenue, Palo Alto, CA 94304, Attention: Samantha H. Eldredge, Esq., Email: samanthaeldredge@paulhastings.com. Any notice, request or other document required or permitted to be given or delivered by the Company to the Holder shall be delivered, mailed or sent to the Holder at the address or email address of such Holder appearing on the books of the Company.</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Limitation of Liability</w:t>
      </w:r>
      <w:r>
        <w:rPr>
          <w:rFonts w:ascii="Times New Roman" w:hAnsi="Times New Roman"/>
          <w:sz w:val="20"/>
        </w:rPr>
        <w:t xml:space="preserve">. No provision hereof, in the absence of any affirmative action by the Holder to exercise this Warrant to purchase Warrant Shares, and no enumeration herein of the rights or privileges of the Holder, shall give rise to any liability of the Holder for the purchase price of any shares of Common Stock or as a stockholder of the Company, whether such liability is asserted by the Company or by creditors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Remedies</w:t>
      </w:r>
      <w:r>
        <w:rPr>
          <w:rFonts w:ascii="Times New Roman" w:hAnsi="Times New Roman"/>
          <w:sz w:val="20"/>
        </w:rPr>
        <w:t xml:space="preserve">.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Successors and Assigns</w:t>
      </w:r>
      <w:r>
        <w:rPr>
          <w:rFonts w:ascii="Times New Roman" w:hAnsi="Times New Roman"/>
          <w:sz w:val="20"/>
        </w:rPr>
        <w:t xml:space="preserve">.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 </w:t>
      </w:r>
    </w:p>
    <w:p>
      <w:pPr>
        <w:pStyle w:val="TextBody"/>
        <w:bidi w:val="0"/>
        <w:spacing w:before="24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Amendment</w:t>
      </w:r>
      <w:r>
        <w:rPr>
          <w:rFonts w:ascii="Times New Roman" w:hAnsi="Times New Roman"/>
          <w:sz w:val="20"/>
        </w:rPr>
        <w:t xml:space="preserve">. This Warrant may be modified or amended or the provisions hereof waived with the written consent of the Company and the 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 </w:t>
      </w:r>
      <w:r>
        <w:rPr>
          <w:rFonts w:ascii="Times New Roman" w:hAnsi="Times New Roman"/>
          <w:sz w:val="20"/>
          <w:u w:val="single"/>
        </w:rPr>
        <w:t>Severability</w:t>
      </w:r>
      <w:r>
        <w:rPr>
          <w:rFonts w:ascii="Times New Roman" w:hAnsi="Times New Roman"/>
          <w:sz w:val="20"/>
        </w:rPr>
        <w:t xml:space="preserve">.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 </w:t>
      </w:r>
    </w:p>
    <w:p>
      <w:pPr>
        <w:pStyle w:val="TextBody"/>
        <w:bidi w:val="0"/>
        <w:spacing w:before="240" w:after="0"/>
        <w:jc w:val="left"/>
        <w:rPr>
          <w:rFonts w:ascii="Times New Roman" w:hAnsi="Times New Roman"/>
          <w:sz w:val="20"/>
        </w:rPr>
      </w:pPr>
      <w:r>
        <w:rPr>
          <w:rFonts w:ascii="Times New Roman" w:hAnsi="Times New Roman"/>
          <w:sz w:val="20"/>
        </w:rPr>
        <w:t xml:space="preserve">(o) </w:t>
      </w:r>
      <w:r>
        <w:rPr>
          <w:rFonts w:ascii="Times New Roman" w:hAnsi="Times New Roman"/>
          <w:sz w:val="20"/>
          <w:u w:val="single"/>
        </w:rPr>
        <w:t>Headings</w:t>
      </w:r>
      <w:r>
        <w:rPr>
          <w:rFonts w:ascii="Times New Roman" w:hAnsi="Times New Roman"/>
          <w:sz w:val="20"/>
        </w:rPr>
        <w:t xml:space="preserve">. The headings used in this Warrant are for the convenience of reference only and shall not, for any purpose, be deemed a part of this Warrant. </w:t>
      </w:r>
    </w:p>
    <w:p>
      <w:pPr>
        <w:pStyle w:val="TextBody"/>
        <w:bidi w:val="0"/>
        <w:spacing w:before="240" w:after="0"/>
        <w:jc w:val="center"/>
        <w:rPr>
          <w:rFonts w:ascii="Times New Roman" w:hAnsi="Times New Roman"/>
          <w:sz w:val="20"/>
        </w:rPr>
      </w:pP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(Signature Page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Company has caused this Warrant to be executed by its officer thereunto duly authorized as of the date first above indicated.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1053"/>
        <w:gridCol w:w="61"/>
        <w:gridCol w:w="2968"/>
      </w:tblGrid>
      <w:tr>
        <w:trPr/>
        <w:tc>
          <w:tcPr>
            <w:tcW w:w="1053"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296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   </w:t>
            </w:r>
            <w:r>
              <w:rPr>
                <w:b/>
              </w:rPr>
              <w:t>VIVOSIM LABS, INC.</w:t>
            </w:r>
          </w:p>
        </w:tc>
      </w:tr>
      <w:tr>
        <w:trPr>
          <w:trHeight w:val="240" w:hRule="atLeast"/>
        </w:trPr>
        <w:tc>
          <w:tcPr>
            <w:tcW w:w="1053" w:type="dxa"/>
            <w:tcBorders/>
            <w:vAlign w:val="center"/>
          </w:tcPr>
          <w:p>
            <w:pPr>
              <w:pStyle w:val="TableContents"/>
              <w:bidi w:val="0"/>
              <w:spacing w:before="0" w:after="283"/>
              <w:jc w:val="left"/>
              <w:rPr>
                <w:sz w:val="4"/>
                <w:szCs w:val="4"/>
              </w:rPr>
            </w:pPr>
            <w:r>
              <w:rPr>
                <w:sz w:val="4"/>
                <w:szCs w:val="4"/>
              </w:rPr>
            </w:r>
          </w:p>
        </w:tc>
        <w:tc>
          <w:tcPr>
            <w:tcW w:w="3029" w:type="dxa"/>
            <w:gridSpan w:val="2"/>
            <w:tcBorders/>
            <w:vAlign w:val="center"/>
          </w:tcPr>
          <w:p>
            <w:pPr>
              <w:pStyle w:val="TableContents"/>
              <w:bidi w:val="0"/>
              <w:spacing w:before="0" w:after="283"/>
              <w:jc w:val="left"/>
              <w:rPr>
                <w:sz w:val="4"/>
                <w:szCs w:val="4"/>
              </w:rPr>
            </w:pPr>
            <w:r>
              <w:rPr>
                <w:sz w:val="4"/>
                <w:szCs w:val="4"/>
              </w:rPr>
            </w:r>
          </w:p>
        </w:tc>
      </w:tr>
      <w:tr>
        <w:trPr/>
        <w:tc>
          <w:tcPr>
            <w:tcW w:w="1053" w:type="dxa"/>
            <w:tcBorders/>
          </w:tcPr>
          <w:p>
            <w:pPr>
              <w:pStyle w:val="TableContents"/>
              <w:bidi w:val="0"/>
              <w:spacing w:before="0" w:after="283"/>
              <w:jc w:val="left"/>
              <w:rPr/>
            </w:pPr>
            <w:r>
              <w:rPr/>
              <w:t>   </w:t>
            </w:r>
            <w:r>
              <w:rPr/>
              <w:t>By:</w:t>
            </w:r>
          </w:p>
        </w:tc>
        <w:tc>
          <w:tcPr>
            <w:tcW w:w="61" w:type="dxa"/>
            <w:tcBorders/>
            <w:vAlign w:val="bottom"/>
          </w:tcPr>
          <w:p>
            <w:pPr>
              <w:pStyle w:val="TableContents"/>
              <w:bidi w:val="0"/>
              <w:spacing w:before="0" w:after="283"/>
              <w:jc w:val="left"/>
              <w:rPr/>
            </w:pPr>
            <w:r>
              <w:rPr/>
              <w:t> </w:t>
            </w:r>
          </w:p>
        </w:tc>
        <w:tc>
          <w:tcPr>
            <w:tcW w:w="2968" w:type="dxa"/>
            <w:tcBorders/>
          </w:tcPr>
          <w:p>
            <w:pPr>
              <w:pStyle w:val="TableContents"/>
              <w:pBdr>
                <w:bottom w:val="single" w:sz="2" w:space="1" w:color="000000"/>
              </w:pBdr>
              <w:bidi w:val="0"/>
              <w:spacing w:before="0" w:after="20"/>
              <w:jc w:val="left"/>
              <w:rPr/>
            </w:pPr>
            <w:r>
              <w:rPr/>
              <w:t> </w:t>
            </w:r>
          </w:p>
        </w:tc>
      </w:tr>
      <w:tr>
        <w:trPr/>
        <w:tc>
          <w:tcPr>
            <w:tcW w:w="1053"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2968" w:type="dxa"/>
            <w:tcBorders/>
          </w:tcPr>
          <w:p>
            <w:pPr>
              <w:pStyle w:val="TableContents"/>
              <w:bidi w:val="0"/>
              <w:spacing w:before="0" w:after="283"/>
              <w:jc w:val="left"/>
              <w:rPr/>
            </w:pPr>
            <w:r>
              <w:rPr/>
              <w:t>Name:</w:t>
            </w:r>
          </w:p>
        </w:tc>
      </w:tr>
      <w:tr>
        <w:trPr/>
        <w:tc>
          <w:tcPr>
            <w:tcW w:w="1053"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2968" w:type="dxa"/>
            <w:tcBorders/>
          </w:tcPr>
          <w:p>
            <w:pPr>
              <w:pStyle w:val="TableContents"/>
              <w:bidi w:val="0"/>
              <w:spacing w:before="0" w:after="283"/>
              <w:jc w:val="left"/>
              <w:rPr/>
            </w:pPr>
            <w:r>
              <w:rPr/>
              <w:t>Title:</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to Pre-Funded Warrant]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A </w:t>
      </w:r>
    </w:p>
    <w:p>
      <w:pPr>
        <w:pStyle w:val="TextBody"/>
        <w:bidi w:val="0"/>
        <w:spacing w:before="240" w:after="0"/>
        <w:jc w:val="center"/>
        <w:rPr>
          <w:rFonts w:ascii="Times New Roman" w:hAnsi="Times New Roman"/>
          <w:b/>
          <w:sz w:val="20"/>
        </w:rPr>
      </w:pPr>
      <w:r>
        <w:rPr>
          <w:rFonts w:ascii="Times New Roman" w:hAnsi="Times New Roman"/>
          <w:b/>
          <w:sz w:val="20"/>
        </w:rPr>
        <w:t xml:space="preserve">NOTICE OF EXERCISE </w:t>
      </w:r>
    </w:p>
    <w:p>
      <w:pPr>
        <w:pStyle w:val="TextBody"/>
        <w:bidi w:val="0"/>
        <w:spacing w:before="240" w:after="0"/>
        <w:jc w:val="left"/>
        <w:rPr>
          <w:rFonts w:ascii="Times New Roman" w:hAnsi="Times New Roman"/>
          <w:sz w:val="20"/>
        </w:rPr>
      </w:pPr>
      <w:r>
        <w:rPr>
          <w:rFonts w:ascii="Times New Roman" w:hAnsi="Times New Roman"/>
          <w:sz w:val="20"/>
        </w:rPr>
        <w:t xml:space="preserve">TO: </w:t>
      </w:r>
      <w:r>
        <w:rPr>
          <w:rFonts w:ascii="Times New Roman" w:hAnsi="Times New Roman"/>
          <w:b/>
          <w:sz w:val="20"/>
        </w:rPr>
        <w:t>VIVOSIM LABS, INC.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 The undersigned hereby elects to purchase ________ Warrant Shares of the Company pursuant to the terms of the attached Warrant (only if exercised in full), and tenders herewith payment of the exercise price in full, together with all applicable transfer taxes, if any. </w:t>
      </w:r>
    </w:p>
    <w:p>
      <w:pPr>
        <w:pStyle w:val="TextBody"/>
        <w:bidi w:val="0"/>
        <w:spacing w:before="240" w:after="0"/>
        <w:jc w:val="left"/>
        <w:rPr>
          <w:rFonts w:ascii="Times New Roman" w:hAnsi="Times New Roman"/>
          <w:sz w:val="20"/>
        </w:rPr>
      </w:pPr>
      <w:r>
        <w:rPr>
          <w:rFonts w:ascii="Times New Roman" w:hAnsi="Times New Roman"/>
          <w:sz w:val="20"/>
        </w:rPr>
        <w:t xml:space="preserve">(2) Payment shall take the form of (check applicable box): </w:t>
      </w:r>
    </w:p>
    <w:p>
      <w:pPr>
        <w:pStyle w:val="TextBody"/>
        <w:bidi w:val="0"/>
        <w:spacing w:before="240" w:after="0"/>
        <w:jc w:val="left"/>
        <w:rPr/>
      </w:pPr>
      <w:r>
        <w:rPr/>
        <w:t xml:space="preserve">☐ </w:t>
      </w:r>
      <w:r>
        <w:rPr>
          <w:rFonts w:ascii="Times New Roman" w:hAnsi="Times New Roman"/>
          <w:sz w:val="20"/>
        </w:rPr>
        <w:t xml:space="preserve">in lawful money of the United States; or </w:t>
      </w:r>
    </w:p>
    <w:p>
      <w:pPr>
        <w:pStyle w:val="TextBody"/>
        <w:bidi w:val="0"/>
        <w:spacing w:before="240" w:after="0"/>
        <w:jc w:val="left"/>
        <w:rPr/>
      </w:pPr>
      <w:r>
        <w:rPr/>
        <w:t xml:space="preserve">☐ </w:t>
      </w:r>
      <w:r>
        <w:rPr>
          <w:rFonts w:ascii="Times New Roman" w:hAnsi="Times New Roman"/>
          <w:sz w:val="20"/>
        </w:rPr>
        <w:t xml:space="preserve">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 </w:t>
      </w:r>
    </w:p>
    <w:p>
      <w:pPr>
        <w:pStyle w:val="TextBody"/>
        <w:bidi w:val="0"/>
        <w:spacing w:before="240" w:after="0"/>
        <w:jc w:val="left"/>
        <w:rPr>
          <w:rFonts w:ascii="Times New Roman" w:hAnsi="Times New Roman"/>
          <w:sz w:val="20"/>
        </w:rPr>
      </w:pPr>
      <w:r>
        <w:rPr>
          <w:rFonts w:ascii="Times New Roman" w:hAnsi="Times New Roman"/>
          <w:sz w:val="20"/>
        </w:rPr>
        <w:t xml:space="preserve">(3) Please issue said Warrant Shares in the name of the undersigned or in such other name as is specified below: </w:t>
      </w:r>
    </w:p>
    <w:p>
      <w:pPr>
        <w:pStyle w:val="TextBody"/>
        <w:bidi w:val="0"/>
        <w:spacing w:before="240" w:after="0"/>
        <w:jc w:val="left"/>
        <w:rPr>
          <w:rFonts w:ascii="Times New Roman" w:hAnsi="Times New Roman"/>
          <w:sz w:val="20"/>
        </w:rPr>
      </w:pPr>
      <w:r>
        <w:rPr>
          <w:rFonts w:ascii="Times New Roman" w:hAnsi="Times New Roman"/>
          <w:sz w:val="20"/>
        </w:rPr>
        <w:t xml:space="preserve">The Warrant Shares shall be delivered to the following DWAC Account Number: </w:t>
      </w:r>
    </w:p>
    <w:p>
      <w:pPr>
        <w:pStyle w:val="TextBody"/>
        <w:bidi w:val="0"/>
        <w:spacing w:before="240" w:after="0"/>
        <w:jc w:val="left"/>
        <w:rPr>
          <w:rFonts w:ascii="Times New Roman" w:hAnsi="Times New Roman"/>
          <w:sz w:val="20"/>
        </w:rPr>
      </w:pPr>
      <w:r>
        <w:rPr>
          <w:rFonts w:ascii="Times New Roman" w:hAnsi="Times New Roman"/>
          <w:sz w:val="20"/>
        </w:rPr>
        <w:t xml:space="preserve">[SIGNATURE OF HOLDER] </w:t>
      </w:r>
    </w:p>
    <w:p>
      <w:pPr>
        <w:pStyle w:val="TextBody"/>
        <w:bidi w:val="0"/>
        <w:spacing w:before="240" w:after="0"/>
        <w:jc w:val="left"/>
        <w:rPr>
          <w:rFonts w:ascii="Times New Roman" w:hAnsi="Times New Roman"/>
          <w:sz w:val="20"/>
        </w:rPr>
      </w:pPr>
      <w:r>
        <w:rPr>
          <w:rFonts w:ascii="Times New Roman" w:hAnsi="Times New Roman"/>
          <w:sz w:val="20"/>
        </w:rPr>
        <w:t>Name of Investing Entity:</w:t>
      </w:r>
    </w:p>
    <w:p>
      <w:pPr>
        <w:pStyle w:val="TextBody"/>
        <w:bidi w:val="0"/>
        <w:spacing w:before="0" w:after="0"/>
        <w:jc w:val="left"/>
        <w:rPr>
          <w:rFonts w:ascii="Times New Roman" w:hAnsi="Times New Roman"/>
          <w:sz w:val="20"/>
        </w:rPr>
      </w:pPr>
      <w:r>
        <w:rPr>
          <w:rFonts w:ascii="Times New Roman" w:hAnsi="Times New Roman"/>
          <w:i/>
          <w:sz w:val="20"/>
        </w:rPr>
        <w:t>Signature of Authorized Signatory of Investing Entity</w:t>
      </w:r>
      <w:r>
        <w:rPr>
          <w:rFonts w:ascii="Times New Roman" w:hAnsi="Times New Roman"/>
          <w:sz w:val="20"/>
        </w:rPr>
        <w:t>:</w:t>
      </w:r>
    </w:p>
    <w:p>
      <w:pPr>
        <w:pStyle w:val="TextBody"/>
        <w:bidi w:val="0"/>
        <w:spacing w:before="0" w:after="0"/>
        <w:jc w:val="left"/>
        <w:rPr>
          <w:rFonts w:ascii="Times New Roman" w:hAnsi="Times New Roman"/>
          <w:sz w:val="20"/>
        </w:rPr>
      </w:pPr>
      <w:r>
        <w:rPr>
          <w:rFonts w:ascii="Times New Roman" w:hAnsi="Times New Roman"/>
          <w:sz w:val="20"/>
        </w:rPr>
        <w:t>Name of Authorized Signatory:</w:t>
      </w:r>
    </w:p>
    <w:p>
      <w:pPr>
        <w:pStyle w:val="TextBody"/>
        <w:bidi w:val="0"/>
        <w:spacing w:before="0" w:after="0"/>
        <w:jc w:val="left"/>
        <w:rPr>
          <w:rFonts w:ascii="Times New Roman" w:hAnsi="Times New Roman"/>
          <w:sz w:val="20"/>
        </w:rPr>
      </w:pPr>
      <w:r>
        <w:rPr>
          <w:rFonts w:ascii="Times New Roman" w:hAnsi="Times New Roman"/>
          <w:sz w:val="20"/>
        </w:rPr>
        <w:t>Title of Authorized Signatory:</w:t>
      </w:r>
    </w:p>
    <w:p>
      <w:pPr>
        <w:pStyle w:val="TextBody"/>
        <w:bidi w:val="0"/>
        <w:spacing w:before="0" w:after="0"/>
        <w:jc w:val="left"/>
        <w:rPr>
          <w:rFonts w:ascii="Times New Roman" w:hAnsi="Times New Roman"/>
          <w:sz w:val="20"/>
        </w:rPr>
      </w:pPr>
      <w:r>
        <w:rPr>
          <w:rFonts w:ascii="Times New Roman" w:hAnsi="Times New Roman"/>
          <w:sz w:val="20"/>
        </w:rPr>
        <w:t>Date:</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B </w:t>
      </w:r>
    </w:p>
    <w:p>
      <w:pPr>
        <w:pStyle w:val="TextBody"/>
        <w:bidi w:val="0"/>
        <w:spacing w:before="240" w:after="0"/>
        <w:jc w:val="center"/>
        <w:rPr>
          <w:rFonts w:ascii="Times New Roman" w:hAnsi="Times New Roman"/>
          <w:b/>
          <w:sz w:val="20"/>
        </w:rPr>
      </w:pPr>
      <w:r>
        <w:rPr>
          <w:rFonts w:ascii="Times New Roman" w:hAnsi="Times New Roman"/>
          <w:b/>
          <w:sz w:val="20"/>
        </w:rPr>
        <w:t xml:space="preserve">ASSIGNMENT FORM </w:t>
      </w:r>
    </w:p>
    <w:p>
      <w:pPr>
        <w:pStyle w:val="TextBody"/>
        <w:bidi w:val="0"/>
        <w:spacing w:before="240" w:after="0"/>
        <w:jc w:val="left"/>
        <w:rPr>
          <w:rFonts w:ascii="Times New Roman" w:hAnsi="Times New Roman"/>
          <w:i/>
          <w:sz w:val="20"/>
        </w:rPr>
      </w:pPr>
      <w:r>
        <w:rPr>
          <w:rFonts w:ascii="Times New Roman" w:hAnsi="Times New Roman"/>
          <w:i/>
          <w:sz w:val="20"/>
        </w:rPr>
        <w:t xml:space="preserve">(To assign the foregoing Warrant, execute this form and supply required information. Do not use this form to purchase shares.) </w:t>
      </w:r>
    </w:p>
    <w:p>
      <w:pPr>
        <w:pStyle w:val="TextBody"/>
        <w:bidi w:val="0"/>
        <w:spacing w:before="240" w:after="0"/>
        <w:jc w:val="left"/>
        <w:rPr>
          <w:rFonts w:ascii="Times New Roman" w:hAnsi="Times New Roman"/>
          <w:sz w:val="20"/>
        </w:rPr>
      </w:pPr>
      <w:r>
        <w:rPr>
          <w:rFonts w:ascii="Times New Roman" w:hAnsi="Times New Roman"/>
          <w:sz w:val="20"/>
        </w:rPr>
        <w:t xml:space="preserve">FOR VALUE RECEIVED, the foregoing Warrant and all rights evidenced thereby are hereby assigned to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Name:</w:t>
            </w:r>
          </w:p>
        </w:tc>
      </w:tr>
      <w:tr>
        <w:trPr/>
        <w:tc>
          <w:tcPr>
            <w:tcW w:w="4082" w:type="dxa"/>
            <w:tcBorders/>
          </w:tcPr>
          <w:p>
            <w:pPr>
              <w:pStyle w:val="TableContents"/>
              <w:bidi w:val="0"/>
              <w:spacing w:before="0" w:after="283"/>
              <w:jc w:val="left"/>
              <w:rPr/>
            </w:pPr>
            <w:r>
              <w:rPr/>
              <w:t>(Please Print)</w:t>
            </w:r>
          </w:p>
        </w:tc>
      </w:tr>
      <w:tr>
        <w:trPr/>
        <w:tc>
          <w:tcPr>
            <w:tcW w:w="4082" w:type="dxa"/>
            <w:tcBorders/>
          </w:tcPr>
          <w:p>
            <w:pPr>
              <w:pStyle w:val="TableContents"/>
              <w:bidi w:val="0"/>
              <w:spacing w:before="0" w:after="283"/>
              <w:jc w:val="left"/>
              <w:rPr/>
            </w:pPr>
            <w:r>
              <w:rPr/>
              <w:t>Address:</w:t>
            </w:r>
          </w:p>
        </w:tc>
      </w:tr>
      <w:tr>
        <w:trPr/>
        <w:tc>
          <w:tcPr>
            <w:tcW w:w="4082" w:type="dxa"/>
            <w:tcBorders/>
          </w:tcPr>
          <w:p>
            <w:pPr>
              <w:pStyle w:val="TableContents"/>
              <w:bidi w:val="0"/>
              <w:spacing w:before="0" w:after="283"/>
              <w:jc w:val="left"/>
              <w:rPr/>
            </w:pPr>
            <w:r>
              <w:rPr/>
              <w:t>(Please Print)</w:t>
            </w:r>
          </w:p>
        </w:tc>
      </w:tr>
      <w:tr>
        <w:trPr/>
        <w:tc>
          <w:tcPr>
            <w:tcW w:w="4082" w:type="dxa"/>
            <w:tcBorders/>
          </w:tcPr>
          <w:p>
            <w:pPr>
              <w:pStyle w:val="TableContents"/>
              <w:bidi w:val="0"/>
              <w:spacing w:before="0" w:after="283"/>
              <w:jc w:val="left"/>
              <w:rPr/>
            </w:pPr>
            <w:r>
              <w:rPr/>
              <w:t>Phone Number:</w:t>
            </w:r>
          </w:p>
        </w:tc>
      </w:tr>
      <w:tr>
        <w:trPr/>
        <w:tc>
          <w:tcPr>
            <w:tcW w:w="4082" w:type="dxa"/>
            <w:tcBorders/>
          </w:tcPr>
          <w:p>
            <w:pPr>
              <w:pStyle w:val="TableContents"/>
              <w:bidi w:val="0"/>
              <w:spacing w:before="0" w:after="283"/>
              <w:jc w:val="left"/>
              <w:rPr/>
            </w:pPr>
            <w:r>
              <w:rPr/>
              <w:t>Email Address:</w:t>
            </w:r>
          </w:p>
        </w:tc>
      </w:tr>
      <w:tr>
        <w:trPr/>
        <w:tc>
          <w:tcPr>
            <w:tcW w:w="4082" w:type="dxa"/>
            <w:tcBorders/>
          </w:tcPr>
          <w:p>
            <w:pPr>
              <w:pStyle w:val="TableContents"/>
              <w:bidi w:val="0"/>
              <w:spacing w:before="0" w:after="283"/>
              <w:jc w:val="left"/>
              <w:rPr/>
            </w:pPr>
            <w:r>
              <w:rPr/>
              <w:t>Dated:</w:t>
            </w:r>
          </w:p>
        </w:tc>
      </w:tr>
      <w:tr>
        <w:trPr/>
        <w:tc>
          <w:tcPr>
            <w:tcW w:w="4082" w:type="dxa"/>
            <w:tcBorders/>
          </w:tcPr>
          <w:p>
            <w:pPr>
              <w:pStyle w:val="TableContents"/>
              <w:bidi w:val="0"/>
              <w:spacing w:before="0" w:after="283"/>
              <w:jc w:val="left"/>
              <w:rPr/>
            </w:pPr>
            <w:r>
              <w:rPr/>
              <w:t>Holder’s Signature:</w:t>
            </w:r>
          </w:p>
        </w:tc>
      </w:tr>
      <w:tr>
        <w:trPr/>
        <w:tc>
          <w:tcPr>
            <w:tcW w:w="4082" w:type="dxa"/>
            <w:tcBorders/>
          </w:tcPr>
          <w:p>
            <w:pPr>
              <w:pStyle w:val="TableContents"/>
              <w:bidi w:val="0"/>
              <w:spacing w:before="0" w:after="283"/>
              <w:jc w:val="left"/>
              <w:rPr/>
            </w:pPr>
            <w:r>
              <w:rPr/>
              <w:t>Holder’s Address:</w:t>
            </w:r>
          </w:p>
        </w:tc>
      </w:tr>
    </w:tbl>
    <w:p>
      <w:pPr>
        <w:pStyle w:val="TextBody"/>
        <w:bidi w:val="0"/>
        <w:spacing w:before="0" w:after="0"/>
        <w:jc w:val="right"/>
        <w:rPr>
          <w:rFonts w:ascii="Times New Roman" w:hAnsi="Times New Roman"/>
          <w:b/>
          <w:sz w:val="20"/>
        </w:rPr>
      </w:pPr>
      <w:bookmarkStart w:id="4" w:name="d134319dex42.htm"/>
      <w:bookmarkStart w:id="5" w:name="ksd134319dex42"/>
      <w:bookmarkEnd w:id="4"/>
      <w:bookmarkEnd w:id="5"/>
      <w:r>
        <w:rPr>
          <w:rFonts w:ascii="Times New Roman" w:hAnsi="Times New Roman"/>
          <w:b/>
          <w:sz w:val="20"/>
        </w:rPr>
        <w:t xml:space="preserve">Exhibit 4.2 </w:t>
      </w:r>
      <w:r>
        <w:br w:type="page"/>
      </w:r>
    </w:p>
    <w:p>
      <w:pPr>
        <w:pStyle w:val="TextBody"/>
        <w:bidi w:val="0"/>
        <w:spacing w:before="240" w:after="0"/>
        <w:jc w:val="left"/>
        <w:rPr>
          <w:rFonts w:ascii="Times New Roman" w:hAnsi="Times New Roman"/>
          <w:b/>
          <w:sz w:val="20"/>
        </w:rPr>
      </w:pPr>
      <w:r>
        <w:rPr>
          <w:rFonts w:ascii="Times New Roman" w:hAnsi="Times New Roman"/>
          <w:b/>
          <w:sz w:val="20"/>
        </w:rPr>
        <w:t xml:space="preserve">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OR OTHER LOAN SECURED BY SUCH SECURITIES. </w:t>
      </w:r>
    </w:p>
    <w:p>
      <w:pPr>
        <w:pStyle w:val="TextBody"/>
        <w:bidi w:val="0"/>
        <w:spacing w:before="480" w:after="0"/>
        <w:jc w:val="center"/>
        <w:rPr>
          <w:rFonts w:ascii="Times New Roman" w:hAnsi="Times New Roman"/>
          <w:b/>
          <w:sz w:val="20"/>
        </w:rPr>
      </w:pPr>
      <w:r>
        <w:rPr>
          <w:rFonts w:ascii="Times New Roman" w:hAnsi="Times New Roman"/>
          <w:b/>
          <w:sz w:val="20"/>
        </w:rPr>
        <w:t xml:space="preserve">COMMON STOCK PURCHASE WARRANT </w:t>
      </w:r>
    </w:p>
    <w:p>
      <w:pPr>
        <w:pStyle w:val="TextBody"/>
        <w:bidi w:val="0"/>
        <w:spacing w:before="0" w:after="0"/>
        <w:jc w:val="center"/>
        <w:rPr>
          <w:rFonts w:ascii="Times New Roman" w:hAnsi="Times New Roman"/>
          <w:b/>
          <w:sz w:val="20"/>
        </w:rPr>
      </w:pPr>
      <w:r>
        <w:rPr>
          <w:rFonts w:ascii="Times New Roman" w:hAnsi="Times New Roman"/>
          <w:b/>
          <w:sz w:val="20"/>
        </w:rPr>
        <w:t xml:space="preserve">TO PURCHASE SHARES OF COMMON STOCK </w:t>
      </w:r>
    </w:p>
    <w:p>
      <w:pPr>
        <w:pStyle w:val="TextBody"/>
        <w:bidi w:val="0"/>
        <w:spacing w:before="240" w:after="0"/>
        <w:jc w:val="center"/>
        <w:rPr>
          <w:rFonts w:ascii="Times New Roman" w:hAnsi="Times New Roman"/>
          <w:b/>
          <w:sz w:val="20"/>
        </w:rPr>
      </w:pPr>
      <w:r>
        <w:rPr>
          <w:rFonts w:ascii="Times New Roman" w:hAnsi="Times New Roman"/>
          <w:b/>
          <w:sz w:val="20"/>
        </w:rPr>
        <w:t xml:space="preserve">VIVOSIM LABS, INC.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13"/>
        <w:gridCol w:w="120"/>
        <w:gridCol w:w="4872"/>
      </w:tblGrid>
      <w:tr>
        <w:trPr/>
        <w:tc>
          <w:tcPr>
            <w:tcW w:w="521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72" w:type="dxa"/>
            <w:tcBorders/>
            <w:vAlign w:val="center"/>
          </w:tcPr>
          <w:p>
            <w:pPr>
              <w:pStyle w:val="TableContents"/>
              <w:bidi w:val="0"/>
              <w:spacing w:before="0" w:after="283"/>
              <w:jc w:val="left"/>
              <w:rPr>
                <w:sz w:val="4"/>
                <w:szCs w:val="4"/>
              </w:rPr>
            </w:pPr>
            <w:r>
              <w:rPr>
                <w:sz w:val="4"/>
                <w:szCs w:val="4"/>
              </w:rPr>
            </w:r>
          </w:p>
        </w:tc>
      </w:tr>
      <w:tr>
        <w:trPr/>
        <w:tc>
          <w:tcPr>
            <w:tcW w:w="5213" w:type="dxa"/>
            <w:tcBorders/>
          </w:tcPr>
          <w:p>
            <w:pPr>
              <w:pStyle w:val="TableContents"/>
              <w:bidi w:val="0"/>
              <w:spacing w:before="0" w:after="283"/>
              <w:jc w:val="left"/>
              <w:rPr/>
            </w:pPr>
            <w:r>
              <w:rPr/>
              <w:t>Warrant Shares: ________</w:t>
            </w:r>
          </w:p>
        </w:tc>
        <w:tc>
          <w:tcPr>
            <w:tcW w:w="120" w:type="dxa"/>
            <w:tcBorders/>
            <w:vAlign w:val="bottom"/>
          </w:tcPr>
          <w:p>
            <w:pPr>
              <w:pStyle w:val="TableContents"/>
              <w:bidi w:val="0"/>
              <w:spacing w:before="0" w:after="283"/>
              <w:jc w:val="left"/>
              <w:rPr/>
            </w:pPr>
            <w:r>
              <w:rPr/>
              <w:t>  </w:t>
            </w:r>
          </w:p>
        </w:tc>
        <w:tc>
          <w:tcPr>
            <w:tcW w:w="4872" w:type="dxa"/>
            <w:tcBorders/>
          </w:tcPr>
          <w:p>
            <w:pPr>
              <w:pStyle w:val="TableContents"/>
              <w:bidi w:val="0"/>
              <w:spacing w:before="0" w:after="283"/>
              <w:jc w:val="right"/>
              <w:rPr/>
            </w:pPr>
            <w:r>
              <w:rPr/>
              <w:t>Issuance Date: July [], 2026</w:t>
            </w:r>
          </w:p>
        </w:tc>
      </w:tr>
    </w:tbl>
    <w:p>
      <w:pPr>
        <w:pStyle w:val="TextBody"/>
        <w:bidi w:val="0"/>
        <w:spacing w:before="240" w:after="0"/>
        <w:jc w:val="left"/>
        <w:rPr>
          <w:rFonts w:ascii="Times New Roman" w:hAnsi="Times New Roman"/>
          <w:sz w:val="20"/>
        </w:rPr>
      </w:pPr>
      <w:r>
        <w:rPr>
          <w:rFonts w:ascii="Times New Roman" w:hAnsi="Times New Roman"/>
          <w:sz w:val="20"/>
        </w:rPr>
        <w:t>THIS COMMON STOCK PURCHASE WARRANT (the “</w:t>
      </w:r>
      <w:r>
        <w:rPr>
          <w:rFonts w:ascii="Times New Roman" w:hAnsi="Times New Roman"/>
          <w:sz w:val="20"/>
          <w:u w:val="single"/>
        </w:rPr>
        <w:t>Warrant</w:t>
      </w:r>
      <w:r>
        <w:rPr>
          <w:rFonts w:ascii="Times New Roman" w:hAnsi="Times New Roman"/>
          <w:sz w:val="20"/>
        </w:rPr>
        <w:t>”) certifies that, for value received, [] or its assigns (the “</w:t>
      </w:r>
      <w:r>
        <w:rPr>
          <w:rFonts w:ascii="Times New Roman" w:hAnsi="Times New Roman"/>
          <w:sz w:val="20"/>
          <w:u w:val="single"/>
        </w:rPr>
        <w:t>Holder</w:t>
      </w:r>
      <w:r>
        <w:rPr>
          <w:rFonts w:ascii="Times New Roman" w:hAnsi="Times New Roman"/>
          <w:sz w:val="20"/>
        </w:rPr>
        <w:t>”) is entitled, upon the terms and subject to the limitations on exercise and the conditions hereinafter set forth, at any time on or after the Stockholder Approval Date (as defined below) (the “</w:t>
      </w:r>
      <w:r>
        <w:rPr>
          <w:rFonts w:ascii="Times New Roman" w:hAnsi="Times New Roman"/>
          <w:sz w:val="20"/>
          <w:u w:val="single"/>
        </w:rPr>
        <w:t>Initial Exercise Date</w:t>
      </w:r>
      <w:r>
        <w:rPr>
          <w:rFonts w:ascii="Times New Roman" w:hAnsi="Times New Roman"/>
          <w:sz w:val="20"/>
        </w:rPr>
        <w:t>”) and on or prior to 5:00 p.m. (New York City time) on the date that is the five (5) year anniversary of the Stockholder Approval Date (the “</w:t>
      </w:r>
      <w:r>
        <w:rPr>
          <w:rFonts w:ascii="Times New Roman" w:hAnsi="Times New Roman"/>
          <w:sz w:val="20"/>
          <w:u w:val="single"/>
        </w:rPr>
        <w:t>Termination Date</w:t>
      </w:r>
      <w:r>
        <w:rPr>
          <w:rFonts w:ascii="Times New Roman" w:hAnsi="Times New Roman"/>
          <w:sz w:val="20"/>
        </w:rPr>
        <w:t>”) but not thereafter, to subscribe for and purchase from VivoSim Labs, Inc., a Delaware corporation (the “</w:t>
      </w:r>
      <w:r>
        <w:rPr>
          <w:rFonts w:ascii="Times New Roman" w:hAnsi="Times New Roman"/>
          <w:sz w:val="20"/>
          <w:u w:val="single"/>
        </w:rPr>
        <w:t>Company</w:t>
      </w:r>
      <w:r>
        <w:rPr>
          <w:rFonts w:ascii="Times New Roman" w:hAnsi="Times New Roman"/>
          <w:sz w:val="20"/>
        </w:rPr>
        <w:t>”), up to [] shares of common stock, par value $0.001 per share, of the Company (the “</w:t>
      </w:r>
      <w:r>
        <w:rPr>
          <w:rFonts w:ascii="Times New Roman" w:hAnsi="Times New Roman"/>
          <w:sz w:val="20"/>
          <w:u w:val="single"/>
        </w:rPr>
        <w:t>Common Stock</w:t>
      </w:r>
      <w:r>
        <w:rPr>
          <w:rFonts w:ascii="Times New Roman" w:hAnsi="Times New Roman"/>
          <w:sz w:val="20"/>
        </w:rPr>
        <w:t>”) (as subject to adjustment hereunder, the “</w:t>
      </w:r>
      <w:r>
        <w:rPr>
          <w:rFonts w:ascii="Times New Roman" w:hAnsi="Times New Roman"/>
          <w:sz w:val="20"/>
          <w:u w:val="single"/>
        </w:rPr>
        <w:t>Warrant Shares</w:t>
      </w:r>
      <w:r>
        <w:rPr>
          <w:rFonts w:ascii="Times New Roman" w:hAnsi="Times New Roman"/>
          <w:sz w:val="20"/>
        </w:rPr>
        <w:t xml:space="preserve">”). The purchase price of one share of Common Stock under this Warrant shall be equal to the Exercise Price, as defined in Section 2(b).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Definitions</w:t>
      </w:r>
      <w:r>
        <w:rPr>
          <w:rFonts w:ascii="Times New Roman" w:hAnsi="Times New Roman"/>
          <w:sz w:val="20"/>
        </w:rPr>
        <w:t>. Capitalized terms used and not otherwise defined herein shall have the meanings set forth in that certain Securities Purchase Agreement (the “</w:t>
      </w:r>
      <w:r>
        <w:rPr>
          <w:rFonts w:ascii="Times New Roman" w:hAnsi="Times New Roman"/>
          <w:sz w:val="20"/>
          <w:u w:val="single"/>
        </w:rPr>
        <w:t>Securities Purchase Agreement</w:t>
      </w:r>
      <w:r>
        <w:rPr>
          <w:rFonts w:ascii="Times New Roman" w:hAnsi="Times New Roman"/>
          <w:sz w:val="20"/>
        </w:rPr>
        <w:t xml:space="preserve">”), dated July 15, 2026, among the Company and the purchasers signatory thereto.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Exercise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Exercise of Warrant</w:t>
      </w:r>
      <w:r>
        <w:rPr>
          <w:rFonts w:ascii="Times New Roman" w:hAnsi="Times New Roman"/>
          <w:sz w:val="20"/>
        </w:rPr>
        <w:t>. Exercise of the purchase rights represented by this Warrant may be made, in whole or in part, at any time or times on or after the Initial Exercise Date and on or before the Termination Date by delivery to the Company of a duly executed facsimile copy or PDF copy submitted by e-mail (or e-mail attachment) of the Notice of Exercise in the form attached hereto as Exhibit A (the “</w:t>
      </w:r>
      <w:r>
        <w:rPr>
          <w:rFonts w:ascii="Times New Roman" w:hAnsi="Times New Roman"/>
          <w:sz w:val="20"/>
          <w:u w:val="single"/>
        </w:rPr>
        <w:t>Notice of Exercise</w:t>
      </w:r>
      <w:r>
        <w:rPr>
          <w:rFonts w:ascii="Times New Roman" w:hAnsi="Times New Roman"/>
          <w:sz w:val="20"/>
        </w:rPr>
        <w:t xml:space="preserve">”). Within the earlier of (i) two (2) Trading Days and (ii) the number of Trading Days comprising the Standard Settlement Period (as defined in Section 2(d)(i) herein) following the date of exercise as aforesaid, the Holder shall deliver the aggregate Exercise Price for the Warrant Shares specified in the applicable Notice of Exercise by wire transfer or cashier’s check drawn on a United States bank unless the cashless exercise procedure specified in Section 2(c) below is specified in the applicable Notice of Exercise. The Company shall have no obligation to inquire with respect to or otherwise confirm the authenticity of the signature(s) contained on any Notice of Exercise nor the authority of the person so executing such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this Warrant has been exercised in full, in which case, the Holder shall surrender this Warrant to the Company for cancellation within three (3) Trading Days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the date of such purchases. The Company shall deliver any objection to any Notice of Exercise within one (1) Business Day of receipt of such notice. Notwithstanding the foregoing, with respect to any Notice(s) of Exercise delivered on or prior to 12:00 p.m. (New York City time) on the Initial Exercise Date, which may be delivered at any time after the time of execution of the Securities Purchase Agreement, the Company agrees to deliver, or cause to be delivered, the Warrant Shares subject to such notice(s) by 4:00 p.m. (New York City time) on the Initial Exercise Date, and the Initial Exercise Date shall be the Warrant Share Delivery Date (as defined below) for purposes hereunder, provided that payment of the aggregate Exercise Price (other than in the case of a cashless exercise) is received by such Warrant Share Delivery Date. </w:t>
      </w:r>
      <w:r>
        <w:rPr>
          <w:rFonts w:ascii="Times New Roman" w:hAnsi="Times New Roman"/>
          <w:b/>
          <w:sz w:val="20"/>
        </w:rPr>
        <w:t>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there is no circumstance that would require the Company to net cash settle this Warrant.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Exercise Price</w:t>
      </w:r>
      <w:r>
        <w:rPr>
          <w:rFonts w:ascii="Times New Roman" w:hAnsi="Times New Roman"/>
          <w:sz w:val="20"/>
        </w:rPr>
        <w:t>. The exercise price per share of Common Stock under this Warrant shall be $0.85 subject to adjustment hereunder (the “</w:t>
      </w:r>
      <w:r>
        <w:rPr>
          <w:rFonts w:ascii="Times New Roman" w:hAnsi="Times New Roman"/>
          <w:sz w:val="20"/>
          <w:u w:val="single"/>
        </w:rPr>
        <w:t>Exercise Price</w:t>
      </w:r>
      <w:r>
        <w:rPr>
          <w:rFonts w:ascii="Times New Roman" w:hAnsi="Times New Roman"/>
          <w:sz w:val="20"/>
        </w:rPr>
        <w:t>”).</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Cashless Exercise</w:t>
      </w:r>
      <w:r>
        <w:rPr>
          <w:rFonts w:ascii="Times New Roman" w:hAnsi="Times New Roman"/>
          <w:sz w:val="20"/>
        </w:rPr>
        <w:t xml:space="preserve">. If at the time of exercise hereof there is no effective registration statement registering, or the prospectus contained therein is not available for the issuance of the Warrant Shares to the Holder, then this Warrant may also be exercised, in whole or in part, by means of a “cashless exercise” in which the Holder shall be entitled to receive a number of Warrant Shares equal to the quotient obtained by dividing [(A-B) (X)] by (A), where: </w:t>
      </w:r>
    </w:p>
    <w:p>
      <w:pPr>
        <w:pStyle w:val="TextBody"/>
        <w:bidi w:val="0"/>
        <w:spacing w:before="240" w:after="0"/>
        <w:jc w:val="left"/>
        <w:rPr>
          <w:rFonts w:ascii="Times New Roman" w:hAnsi="Times New Roman"/>
          <w:sz w:val="20"/>
        </w:rPr>
      </w:pPr>
      <w:r>
        <w:rPr>
          <w:rFonts w:ascii="Times New Roman" w:hAnsi="Times New Roman"/>
          <w:sz w:val="20"/>
        </w:rPr>
        <w:t>(A)=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 of Regulation NMS promulgated under the federal securities laws) on such Trading Day, (ii) at the option of the Holder, either (x) the VWAP on the Trading Day immediately preceding the date of the applicable Notice of Exercise or (y) the Bid Price of the Common Stock on the principal Trading Market as reported by Bloomberg L.P. (“</w:t>
      </w:r>
      <w:r>
        <w:rPr>
          <w:rFonts w:ascii="Times New Roman" w:hAnsi="Times New Roman"/>
          <w:sz w:val="20"/>
          <w:u w:val="single"/>
        </w:rPr>
        <w:t>Bloomberg</w:t>
      </w:r>
      <w:r>
        <w:rPr>
          <w:rFonts w:ascii="Times New Roman" w:hAnsi="Times New Roman"/>
          <w:sz w:val="20"/>
        </w:rPr>
        <w:t xml:space="preserve">”)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 </w:t>
      </w:r>
    </w:p>
    <w:p>
      <w:pPr>
        <w:pStyle w:val="TextBody"/>
        <w:bidi w:val="0"/>
        <w:spacing w:before="240" w:after="0"/>
        <w:jc w:val="left"/>
        <w:rPr>
          <w:rFonts w:ascii="Times New Roman" w:hAnsi="Times New Roman"/>
          <w:sz w:val="20"/>
        </w:rPr>
      </w:pPr>
      <w:r>
        <w:rPr>
          <w:rFonts w:ascii="Times New Roman" w:hAnsi="Times New Roman"/>
          <w:sz w:val="20"/>
        </w:rPr>
        <w:t xml:space="preserve">(B) = the Exercise Price, as adjusted hereunder; and </w:t>
      </w:r>
    </w:p>
    <w:p>
      <w:pPr>
        <w:pStyle w:val="TextBody"/>
        <w:bidi w:val="0"/>
        <w:spacing w:before="240" w:after="0"/>
        <w:jc w:val="left"/>
        <w:rPr>
          <w:rFonts w:ascii="Times New Roman" w:hAnsi="Times New Roman"/>
          <w:sz w:val="20"/>
        </w:rPr>
      </w:pPr>
      <w:r>
        <w:rPr>
          <w:rFonts w:ascii="Times New Roman" w:hAnsi="Times New Roman"/>
          <w:sz w:val="20"/>
        </w:rPr>
        <w:t xml:space="preserve">(X) = the number of Warrant Shares that would be issuable upon exercise of this Warrant in accordance with the terms of this Warrant if such exercise were by means of a cash exercise rather than a cashless exercise. </w:t>
      </w:r>
    </w:p>
    <w:p>
      <w:pPr>
        <w:pStyle w:val="TextBody"/>
        <w:bidi w:val="0"/>
        <w:spacing w:before="240" w:after="0"/>
        <w:jc w:val="left"/>
        <w:rPr>
          <w:rFonts w:ascii="Times New Roman" w:hAnsi="Times New Roman"/>
          <w:sz w:val="20"/>
        </w:rPr>
      </w:pPr>
      <w:r>
        <w:rPr>
          <w:rFonts w:ascii="Times New Roman" w:hAnsi="Times New Roman"/>
          <w:sz w:val="20"/>
        </w:rPr>
        <w:t xml:space="preserve">If Warrant Shares are issued in such a cashless exercise, the parties acknowledge and agree that in accordance with Section 3(a)(9) of the Securities Act, the Warrant Shares shall take on the registered characteristics of this Warrant. The Company agrees not to take any position contrary to this Section 2(c). </w:t>
      </w:r>
    </w:p>
    <w:p>
      <w:pPr>
        <w:pStyle w:val="TextBody"/>
        <w:bidi w:val="0"/>
        <w:spacing w:before="240" w:after="0"/>
        <w:jc w:val="left"/>
        <w:rPr/>
      </w:pPr>
      <w:r>
        <w:rPr/>
        <w:t>“</w:t>
      </w:r>
      <w:r>
        <w:rPr>
          <w:rFonts w:ascii="Times New Roman" w:hAnsi="Times New Roman"/>
          <w:sz w:val="20"/>
          <w:u w:val="single"/>
        </w:rPr>
        <w:t>Bid Price</w:t>
      </w:r>
      <w:r>
        <w:rPr>
          <w:rFonts w:ascii="Times New Roman" w:hAnsi="Times New Roman"/>
          <w:sz w:val="20"/>
        </w:rPr>
        <w:t xml:space="preserve">”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(based on a Trading Day from 9:30 a.m. (New York City time) to 4:02 p.m. (New York City time)), (b) if OTCQB or OTCQX is not a Trading Market, the VWAP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VWAP</w:t>
      </w:r>
      <w:r>
        <w:rPr>
          <w:rFonts w:ascii="Times New Roman" w:hAnsi="Times New Roman"/>
          <w:sz w:val="20"/>
        </w:rPr>
        <w:t xml:space="preserve">”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Mechanics of Exercise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Delivery of Warrant Shares Upon Exercise</w:t>
      </w:r>
      <w:r>
        <w:rPr>
          <w:rFonts w:ascii="Times New Roman" w:hAnsi="Times New Roman"/>
          <w:sz w:val="20"/>
        </w:rPr>
        <w:t>. The Company shall cause the Warrant Shares purchased hereunder to be transmitted to the Holder by crediting the account of the Holder’s or its designee’s balance account with The Depository Trust Company through its Deposit or Withdrawal at Custodian system (“</w:t>
      </w:r>
      <w:r>
        <w:rPr>
          <w:rFonts w:ascii="Times New Roman" w:hAnsi="Times New Roman"/>
          <w:sz w:val="20"/>
          <w:u w:val="single"/>
        </w:rPr>
        <w:t>DWAC</w:t>
      </w:r>
      <w:r>
        <w:rPr>
          <w:rFonts w:ascii="Times New Roman" w:hAnsi="Times New Roman"/>
          <w:sz w:val="20"/>
        </w:rPr>
        <w:t>”) if the Company is then a participant in such system and either (A) there is an effective registration statement permitting the issuance of the Warrant Shares to, or resale of the Warrant Shares by, the Holder or (B) this Warrant is being exercised via cashless exercise, and otherwise by physical delivery of the Warrant Shares, registered in the Company’s share register in the name of the Holder or its designee, for the number of Warrant Shares to which the Holder is entitled pursuant to such exercise to the address specified by the Holder in the Notice of Exercise by the date that is the earliest of (i) two (2) Trading Days after the delivery to the Company of the Notice of Exercise, (ii) one (1) Trading Day after delivery of the aggregate Exercise Price to the Company, and (iii) the number of Trading Days comprising the Standard Settlement Period after the delivery to the Company of the Notice of Exercise (such date, the “</w:t>
      </w:r>
      <w:r>
        <w:rPr>
          <w:rFonts w:ascii="Times New Roman" w:hAnsi="Times New Roman"/>
          <w:sz w:val="20"/>
          <w:u w:val="single"/>
        </w:rPr>
        <w:t>Warrant Share Delivery Date</w:t>
      </w:r>
      <w:r>
        <w:rPr>
          <w:rFonts w:ascii="Times New Roman" w:hAnsi="Times New Roman"/>
          <w:sz w:val="20"/>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within the earlier of (i) two (2) Trading Days and (ii) the number of Trading Days comprising the Standard Settlement Period following delivery of the Notice of Exercise; provided that payment of the aggregate Exercise Price (other than in the case of a cashless exercise) is received by such date. If the Company fails for any reason to deliver to the Holder the Warrant Shares subject to a Notice of Exercise by the Warrant Share Delivery Date applicable to such exercise, the Holder may, upon written demand to the Company, require the Company to pay to the Holder, in cash, as liquidated damages and not as a penalty, for each $1,000 of Warrant Shares subject to such exercise (based on the VWAP of the Common Stock on the date of the applicable Notice of Exercise), $10 per Trading Day (increasing to $20 per Trading Day on the fifth Trading Day after the Warrant Share Delivery Date) for each Trading Day after such Warrant Share Delivery Date until such Warrant Shares are delivered or Holder rescinds such exercise. The Company agrees to maintain a registrar (which may be the Transfer Agent) that is a participant in the FAST program so long as this Warrant remains outstanding and exercisable. As used herein, “</w:t>
      </w:r>
      <w:r>
        <w:rPr>
          <w:rFonts w:ascii="Times New Roman" w:hAnsi="Times New Roman"/>
          <w:sz w:val="20"/>
          <w:u w:val="single"/>
        </w:rPr>
        <w:t>Standard Settlement Period</w:t>
      </w:r>
      <w:r>
        <w:rPr>
          <w:rFonts w:ascii="Times New Roman" w:hAnsi="Times New Roman"/>
          <w:sz w:val="20"/>
        </w:rPr>
        <w:t xml:space="preserve">” means the standard settlement period, expressed in a number of Trading Days (including no Trading Days if the Settlement Date is the trade date), on the Company’s primary Trading Market with respect to the Common Stock as in effect on the date of delivery of the Notice of Exercise. </w:t>
      </w:r>
    </w:p>
    <w:p>
      <w:pPr>
        <w:pStyle w:val="TextBody"/>
        <w:bidi w:val="0"/>
        <w:spacing w:before="24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Delivery of New Warrants Upon Exercise</w:t>
      </w:r>
      <w:r>
        <w:rPr>
          <w:rFonts w:ascii="Times New Roman" w:hAnsi="Times New Roman"/>
          <w:sz w:val="20"/>
        </w:rPr>
        <w:t xml:space="preserve">.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Rescission Rights</w:t>
      </w:r>
      <w:r>
        <w:rPr>
          <w:rFonts w:ascii="Times New Roman" w:hAnsi="Times New Roman"/>
          <w:sz w:val="20"/>
        </w:rPr>
        <w:t xml:space="preserve">. If the Company fails to cause the Transfer Agent to transmit to the Holder the Warrant Shares pursuant to Section 2(d)(i) by the Warrant Share Delivery Date, then the Holder will have the right to rescind such exercise by delivering written notice to the Company at any time prior to the Company delivering such Warrant Shares. </w:t>
      </w:r>
    </w:p>
    <w:p>
      <w:pPr>
        <w:pStyle w:val="TextBody"/>
        <w:bidi w:val="0"/>
        <w:spacing w:before="240" w:after="0"/>
        <w:jc w:val="left"/>
        <w:rPr>
          <w:rFonts w:ascii="Times New Roman" w:hAnsi="Times New Roman"/>
          <w:sz w:val="20"/>
        </w:rPr>
      </w:pPr>
      <w:r>
        <w:rPr>
          <w:rFonts w:ascii="Times New Roman" w:hAnsi="Times New Roman"/>
          <w:sz w:val="20"/>
        </w:rPr>
        <w:t xml:space="preserve">(iv) </w:t>
      </w:r>
      <w:r>
        <w:rPr>
          <w:rFonts w:ascii="Times New Roman" w:hAnsi="Times New Roman"/>
          <w:sz w:val="20"/>
          <w:u w:val="single"/>
        </w:rPr>
        <w:t>Compensation for Buy-In on Failure to Timely Deliver Warrant Shares Upon Exercise</w:t>
      </w:r>
      <w:r>
        <w:rPr>
          <w:rFonts w:ascii="Times New Roman" w:hAnsi="Times New Roman"/>
          <w:sz w:val="20"/>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(other than such failure that is solely due to any action or inaction by the Holder with respect to such exercise),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 w:hAnsi="Times New Roman"/>
          <w:sz w:val="20"/>
          <w:u w:val="single"/>
        </w:rPr>
        <w:t>Buy-In</w:t>
      </w:r>
      <w:r>
        <w:rPr>
          <w:rFonts w:ascii="Times New Roman" w:hAnsi="Times New Roman"/>
          <w:sz w:val="20"/>
        </w:rPr>
        <w:t xml:space="preserve">”),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but did not timely deliver, to the Holder in connection with the exercise at issue times (2) the price at which the sell order giving rise to such purchase obligation was executed, and (B) at the option of the Holder, either reinstate the portion of this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shares of Common Stock having a total purchase price of $11,000 to cover a Buy-In with respect to an attempted exercise of Warrants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this Warrant as required pursuant to the terms hereof. </w:t>
      </w:r>
    </w:p>
    <w:p>
      <w:pPr>
        <w:pStyle w:val="TextBody"/>
        <w:bidi w:val="0"/>
        <w:spacing w:before="240" w:after="0"/>
        <w:jc w:val="left"/>
        <w:rPr>
          <w:rFonts w:ascii="Times New Roman" w:hAnsi="Times New Roman"/>
          <w:sz w:val="20"/>
        </w:rPr>
      </w:pPr>
      <w:r>
        <w:rPr>
          <w:rFonts w:ascii="Times New Roman" w:hAnsi="Times New Roman"/>
          <w:sz w:val="20"/>
        </w:rPr>
        <w:t xml:space="preserve">(v) </w:t>
      </w:r>
      <w:r>
        <w:rPr>
          <w:rFonts w:ascii="Times New Roman" w:hAnsi="Times New Roman"/>
          <w:sz w:val="20"/>
          <w:u w:val="single"/>
        </w:rPr>
        <w:t>No Fractional Shares or Scrip</w:t>
      </w:r>
      <w:r>
        <w:rPr>
          <w:rFonts w:ascii="Times New Roman" w:hAnsi="Times New Roman"/>
          <w:sz w:val="20"/>
        </w:rPr>
        <w:t xml:space="preserve">.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(vi) </w:t>
      </w:r>
      <w:r>
        <w:rPr>
          <w:rFonts w:ascii="Times New Roman" w:hAnsi="Times New Roman"/>
          <w:sz w:val="20"/>
          <w:u w:val="single"/>
        </w:rPr>
        <w:t>Charges, Taxes and Expenses</w:t>
      </w:r>
      <w:r>
        <w:rPr>
          <w:rFonts w:ascii="Times New Roman" w:hAnsi="Times New Roman"/>
          <w:sz w:val="20"/>
        </w:rPr>
        <w:t>.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provided, however, that, in the event that Warrant Shares are to be issued in a name other than the name of the Holder, this Warrant when surrendered for exercise shall be accompanied by the Assignment Form attached hereto as Exhibit B (the “</w:t>
      </w:r>
      <w:r>
        <w:rPr>
          <w:rFonts w:ascii="Times New Roman" w:hAnsi="Times New Roman"/>
          <w:sz w:val="20"/>
          <w:u w:val="single"/>
        </w:rPr>
        <w:t>Assignment Form</w:t>
      </w:r>
      <w:r>
        <w:rPr>
          <w:rFonts w:ascii="Times New Roman" w:hAnsi="Times New Roman"/>
          <w:sz w:val="20"/>
        </w:rPr>
        <w:t xml:space="preserve">”)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 </w:t>
      </w:r>
    </w:p>
    <w:p>
      <w:pPr>
        <w:pStyle w:val="TextBody"/>
        <w:bidi w:val="0"/>
        <w:spacing w:before="240" w:after="0"/>
        <w:jc w:val="left"/>
        <w:rPr>
          <w:rFonts w:ascii="Times New Roman" w:hAnsi="Times New Roman"/>
          <w:sz w:val="20"/>
        </w:rPr>
      </w:pPr>
      <w:r>
        <w:rPr>
          <w:rFonts w:ascii="Times New Roman" w:hAnsi="Times New Roman"/>
          <w:sz w:val="20"/>
        </w:rPr>
        <w:t xml:space="preserve">(vii) </w:t>
      </w:r>
      <w:r>
        <w:rPr>
          <w:rFonts w:ascii="Times New Roman" w:hAnsi="Times New Roman"/>
          <w:sz w:val="20"/>
          <w:u w:val="single"/>
        </w:rPr>
        <w:t>Closing of Books</w:t>
      </w:r>
      <w:r>
        <w:rPr>
          <w:rFonts w:ascii="Times New Roman" w:hAnsi="Times New Roman"/>
          <w:sz w:val="20"/>
        </w:rPr>
        <w:t xml:space="preserve">. The Company will not close its stockholder books or records in any manner which prevents the timely exercise of this Warrant, pursuant to the terms hereof. </w:t>
      </w:r>
    </w:p>
    <w:p>
      <w:pPr>
        <w:pStyle w:val="TextBody"/>
        <w:bidi w:val="0"/>
        <w:spacing w:before="240" w:after="0"/>
        <w:jc w:val="left"/>
        <w:rPr>
          <w:rFonts w:ascii="Times New Roman" w:hAnsi="Times New Roman"/>
          <w:sz w:val="20"/>
        </w:rPr>
      </w:pPr>
      <w:r>
        <w:rPr>
          <w:rFonts w:ascii="Times New Roman" w:hAnsi="Times New Roman"/>
          <w:sz w:val="20"/>
        </w:rPr>
        <w:t xml:space="preserve">(viii) </w:t>
      </w:r>
      <w:r>
        <w:rPr>
          <w:rFonts w:ascii="Times New Roman" w:hAnsi="Times New Roman"/>
          <w:sz w:val="20"/>
          <w:u w:val="single"/>
        </w:rPr>
        <w:t>Holder’s Exercise Limitations</w:t>
      </w:r>
      <w:r>
        <w:rPr>
          <w:rFonts w:ascii="Times New Roman" w:hAnsi="Times New Roman"/>
          <w:sz w:val="20"/>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(i) the Holder’s Affiliates, (ii) any other Persons acting as a group together with the Holder or any of the Holder’s Affiliates, and (iii) any other Persons whose beneficial ownership of shares of Common Stock would or could be aggregated with the Holder’s for the purposes of Section 13(d) (such Persons, “</w:t>
      </w:r>
      <w:r>
        <w:rPr>
          <w:rFonts w:ascii="Times New Roman" w:hAnsi="Times New Roman"/>
          <w:sz w:val="20"/>
          <w:u w:val="single"/>
        </w:rPr>
        <w:t>Attribution Parties</w:t>
      </w:r>
      <w:r>
        <w:rPr>
          <w:rFonts w:ascii="Times New Roman" w:hAnsi="Times New Roman"/>
          <w:sz w:val="20"/>
        </w:rPr>
        <w:t xml:space="preserve">”)), would beneficially own in excess of the Beneficial Ownership Limitation (as defined below). For purposes of the foregoing sentence, the number of shares of Common Stock beneficially owned by the Holder and its Affiliates and Attribution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Parties shall include the number of Warrant Shares issuable upon exercise of this Warrant with respect to which such determination is being made, but shall exclude the number of Warrant Shares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2(d)(viii),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2(d)(viii) applies, the determination of whether this Warrant is exercisable (in relation to other securities owned by the Holder together with any Affiliates and Attribution Parties) and of which portion of this Warrant is exercisable shall be in the sole discretion of, and shall be the sole responsibility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and shall have no liability for exercises of this Warrant that are not in compliance with the Beneficial Ownership Limitation. In addition, a determination as to any group status as contemplated above shall be determined in accordance with Section 13(d) of the Exchange Act and the rules and regulations promulgated thereunder, and the Company shall have no obligation to verify or confirm the accuracy of such determination and shall have no liability for exercises of this Warrant that are not in compliance with the Beneficial Ownership Limitation. For purposes of this Section 2(d)(viii), in determining the number of outstanding shares of Common Stock, a Holder may rely on the number of outstanding shares of Common Stock as reflected in (A) the Company’s most recent periodic or annual report filed with the Securities and Exchange Commission (the “</w:t>
      </w:r>
      <w:r>
        <w:rPr>
          <w:rFonts w:ascii="Times New Roman" w:hAnsi="Times New Roman"/>
          <w:sz w:val="20"/>
          <w:u w:val="single"/>
        </w:rPr>
        <w:t>Commission</w:t>
      </w:r>
      <w:r>
        <w:rPr>
          <w:rFonts w:ascii="Times New Roman" w:hAnsi="Times New Roman"/>
          <w:sz w:val="20"/>
        </w:rPr>
        <w:t>”), as the case may be, (B) a more recent public announcement by the Company or (C) a more recent written notice by the Company or the Transfer Agent setting forth the number of shares of Common Stock outstanding. Upon the written or oral request of a Holder, the Company shall within one (1)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Times New Roman" w:hAnsi="Times New Roman"/>
          <w:sz w:val="20"/>
          <w:u w:val="single"/>
        </w:rPr>
        <w:t>Beneficial Ownership Limitation</w:t>
      </w:r>
      <w:r>
        <w:rPr>
          <w:rFonts w:ascii="Times New Roman" w:hAnsi="Times New Roman"/>
          <w:sz w:val="20"/>
        </w:rPr>
        <w:t xml:space="preserve">” shall be [4.99/9.99]% of the number of shares of Common Stock outstanding immediately after giving effect to the issuance of the Warrant Shares issuable upon exercise of this Warrant. The Holder, upon notice to the Company, may increase or decrease the Beneficial Ownership Limitation provisions of this Section 2(d)(viii), provided that the Beneficial Ownership Limitation in no event exceeds 9.99% of the number of shares of Common Stock outstanding immediately after giving effect to the issuance of the Warrant Shares upon exercise of this Warrant held by the Holder and the provisions of this Section 2(d)(viii) shall continue to apply. Any increase in the Beneficial Ownership Limitation will not be effective until the 61st day after such notice is delivered to the Company. The provisions of this paragraph shall be construed and implemented in a manner otherwise than in strict conformity with the terms of this Section 2(d)(viii)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 If this Warrant is unexercisable as a result of the Holder’s Beneficial Ownership Limitation, no alternate consideration shall be owing to the Holder.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Certain Adjustments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Stock Dividends and Splits</w:t>
      </w:r>
      <w:r>
        <w:rPr>
          <w:rFonts w:ascii="Times New Roman" w:hAnsi="Times New Roman"/>
          <w:sz w:val="20"/>
        </w:rPr>
        <w:t xml:space="preserve">. If the Company, at any time while this Warrant is outstanding: (i) pays a stock dividend or otherwise makes a distribution or distributions on shares of Common Stock or any other equity or equity equivalent securities payable in shares of Common Stock (which, for avoidance of doubt, shall not include any Warrant Shares issued by the Company upon exercise of this Warrant), (ii) subdivides outstanding shares of Common Stock into a larger number of shares, (iii) combines (including by way of stock share split) outstanding shares of Common Stock into a smaller number of shares, or (iv) issues by reclassification of shares of Common Stock any shares of capital stock of the Company, then in each case the Exercise Price shall be multiplied by a fraction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remains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Subsequent Rights Offerings</w:t>
      </w:r>
      <w:r>
        <w:rPr>
          <w:rFonts w:ascii="Times New Roman" w:hAnsi="Times New Roman"/>
          <w:sz w:val="20"/>
        </w:rPr>
        <w:t>. In addition to any adjustments pursuant to Section 3(a) above, if at any time while this Warrant is outstanding the Company grants, issues or sells any securities of the Company which would entitle the holder thereof to acquire Common Stock or rights to purchase stock, warrants, securities or other property pro rata to the record holders of all of the shares of Common Stock (the “</w:t>
      </w:r>
      <w:r>
        <w:rPr>
          <w:rFonts w:ascii="Times New Roman" w:hAnsi="Times New Roman"/>
          <w:sz w:val="20"/>
          <w:u w:val="single"/>
        </w:rPr>
        <w:t>Purchase Rights</w:t>
      </w:r>
      <w:r>
        <w:rPr>
          <w:rFonts w:ascii="Times New Roman" w:hAnsi="Times New Roman"/>
          <w:sz w:val="20"/>
        </w:rPr>
        <w:t xml:space="preserve">”),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Pro Rata Distributions</w:t>
      </w:r>
      <w:r>
        <w:rPr>
          <w:rFonts w:ascii="Times New Roman" w:hAnsi="Times New Roman"/>
          <w:sz w:val="20"/>
        </w:rPr>
        <w:t>.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and excluding a stock split) (a “</w:t>
      </w:r>
      <w:r>
        <w:rPr>
          <w:rFonts w:ascii="Times New Roman" w:hAnsi="Times New Roman"/>
          <w:sz w:val="20"/>
          <w:u w:val="single"/>
        </w:rPr>
        <w:t>Distribution</w:t>
      </w:r>
      <w:r>
        <w:rPr>
          <w:rFonts w:ascii="Times New Roman" w:hAnsi="Times New Roman"/>
          <w:sz w:val="20"/>
        </w:rPr>
        <w:t xml:space="preserve">”),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(provided, however,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Fundamental Transaction</w:t>
      </w:r>
      <w:r>
        <w:rPr>
          <w:rFonts w:ascii="Times New Roman" w:hAnsi="Times New Roman"/>
          <w:sz w:val="20"/>
        </w:rPr>
        <w:t xml:space="preserve">. If, at any time while this Warrant is outstanding, (i) the Company, directly or indirectly, in one or more related transactions effects any merger or consolidation of the Company with or into another Person and the Company is not the surviving entity (other than reincorporation in a different state or a similar transaction pursuant to which the surviving company remains a public company), (ii) the Company (and all of its subsidiaries, taken as a whole), directly or indirectly, effects any sale, lease, license, assignment, transfer, conveyance or other disposition of all or substantially all of the Company’s (including its subsidiaries, taken as a whole)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more than 67% of the outstanding voting power of the common equity of the Company, (iv) the Company, directly or indirectly, in one or more related transactions effects any reclassification, reorganization or recapitalization of the Common Stock or any compulsory share exchange pursuant to which the Common Stock 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effectively converted into or exchanged for other securities, cash or property (other than a stock split),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more than 67% of the outstanding voting power of the common equity of the Company, (each, a “</w:t>
      </w:r>
      <w:r>
        <w:rPr>
          <w:rFonts w:ascii="Times New Roman" w:hAnsi="Times New Roman"/>
          <w:sz w:val="20"/>
          <w:u w:val="single"/>
        </w:rPr>
        <w:t>Fundamental Transaction</w:t>
      </w:r>
      <w:r>
        <w:rPr>
          <w:rFonts w:ascii="Times New Roman" w:hAnsi="Times New Roman"/>
          <w:sz w:val="20"/>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2(d)(viii) on the exercise of this Warrant), the number of shares of Common Stock of the successor or acquiring corporation or of the Company, if it is the surviving corporation, and any additional consideration (the “</w:t>
      </w:r>
      <w:r>
        <w:rPr>
          <w:rFonts w:ascii="Times New Roman" w:hAnsi="Times New Roman"/>
          <w:sz w:val="20"/>
          <w:u w:val="single"/>
        </w:rPr>
        <w:t>Alternate Consideration</w:t>
      </w:r>
      <w:r>
        <w:rPr>
          <w:rFonts w:ascii="Times New Roman" w:hAnsi="Times New Roman"/>
          <w:sz w:val="20"/>
        </w:rPr>
        <w:t>”) receivable as a result of such Fundamental Transaction by a holder of the number of shares of Common Stock for which this Warrant is exercisable immediately prior to such Fundamental Transaction (without regard to any limitation in Section 2(d)(viii)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The Company shall cause any successor entity in a Fundamental Transaction in which the Company is not the survivor (the “</w:t>
      </w:r>
      <w:r>
        <w:rPr>
          <w:rFonts w:ascii="Times New Roman" w:hAnsi="Times New Roman"/>
          <w:sz w:val="20"/>
          <w:u w:val="single"/>
        </w:rPr>
        <w:t>Successor Entity</w:t>
      </w:r>
      <w:r>
        <w:rPr>
          <w:rFonts w:ascii="Times New Roman" w:hAnsi="Times New Roman"/>
          <w:sz w:val="20"/>
        </w:rPr>
        <w:t xml:space="preserve">”) to assume in writing all of the obligations of the Company under this Warrant and the other Transaction Documents in accordance with the provisions of this Section 3(e) pursuant to written agreements in form and substance reasonably satisfactory to the Holder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date of such Fundamental Transaction, the provisions of this Warrant and the other Transaction Documents referring to the “Company” shall refer instead to the Successor Entity), and may exercise every right and power of the Company and shall assume all of the obligations of the Company under this Warrant and the other Transaction Documents with the same effect as if such Successor Entity had been named as the Company herein.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Calculations</w:t>
      </w:r>
      <w:r>
        <w:rPr>
          <w:rFonts w:ascii="Times New Roman" w:hAnsi="Times New Roman"/>
          <w:sz w:val="20"/>
        </w:rPr>
        <w:t xml:space="preserve">. All calculations under this Section 3 shall be made to the nearest cent or the nearest 1/100th of a share of Common Stock, as the case may be. For purposes of this Section 3, the number of shares of Common Stock deemed to be issued and outstanding as of a given date shall be the sum of the number of shares of Common Stock (excluding treasury shares, if any) issued and outstanding.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Notice to Holder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Adjustment to Exercise Price</w:t>
      </w:r>
      <w:r>
        <w:rPr>
          <w:rFonts w:ascii="Times New Roman" w:hAnsi="Times New Roman"/>
          <w:sz w:val="20"/>
        </w:rPr>
        <w:t xml:space="preserve">. Whenever the Exercise Price is adjusted pursuant to any provision of this Section 3, the Company shall promptly deliver to the Holder by facsimile or email a notice setting forth the Exercise Price after such adjustment and any resulting adjustment to the number of Warrant Shares and setting forth a brief statement of the facts requiring such adjustment. </w:t>
      </w:r>
    </w:p>
    <w:p>
      <w:pPr>
        <w:pStyle w:val="TextBody"/>
        <w:bidi w:val="0"/>
        <w:spacing w:before="24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Notice to Allow Exercise by Holder</w:t>
      </w:r>
      <w:r>
        <w:rPr>
          <w:rFonts w:ascii="Times New Roman" w:hAnsi="Times New Roman"/>
          <w:sz w:val="20"/>
        </w:rPr>
        <w:t xml:space="preserve">. If, while this Warrant is outstanding, (A) the Company declares a dividend (or any other distribution in whatever form (other than a stock split)) on the shares of Common Stock, (B) the Company declares a special nonrecurring cash dividend on, or a redemption of, the shares of Common Stock, (C) the Company authorizes the granting to all holders of the shares of Common Stock rights or warrants to subscribe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purchase any shares of capital stock of any class or of any rights, (D) the approval of any stockholders of the Company is required in connection with a Fundamental Transaction, or (E) the Company authorizes the voluntary or involuntary dissolution, liquidation or winding up of the affairs of the Company, then, in each case, the Company shall cause to be delivered by facsimile or email to the Holder at its last facsimile number or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shares of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shares of Common Stock of record shall be entitled to exchange their shares of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and provided, further that no notice shall be required if the information is disseminated in a press release or document filed with the Securities and Exchange Commission. To the extent that any notice provided in this Warrant constitutes, or contains, material, non-public information regarding the Company or any of its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Voluntary Adjustment By Company</w:t>
      </w:r>
      <w:r>
        <w:rPr>
          <w:rFonts w:ascii="Times New Roman" w:hAnsi="Times New Roman"/>
          <w:sz w:val="20"/>
        </w:rPr>
        <w:t xml:space="preserve">. Subject to the rules and regulations of the Trading Market, the Company may at any time during the term of this Warrant, subject to the prior written consent of the Holder, reduce the then current Exercise Price to any amount and for any period of time deemed appropriate by the board of directors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Transfer of Warrant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Transferability</w:t>
      </w:r>
      <w:r>
        <w:rPr>
          <w:rFonts w:ascii="Times New Roman" w:hAnsi="Times New Roman"/>
          <w:sz w:val="20"/>
        </w:rPr>
        <w:t xml:space="preserve">. Subject to compliance with any applicable securities laws, this Warrant and all rights hereunder (including, without limitation, any registration rights) are transferable, in whole or in part, upon surrender of this Warrant at the principal office of the Company or its designated agent, together with a written Assignment Form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This Warrant, if properly assigned in accordance herewith, may be exercised by a new holder for the purchase of Warrant Shares without having a new Warrant issued.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New Warrants</w:t>
      </w:r>
      <w:r>
        <w:rPr>
          <w:rFonts w:ascii="Times New Roman" w:hAnsi="Times New Roman"/>
          <w:sz w:val="20"/>
        </w:rPr>
        <w:t xml:space="preserve">.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this Warrant or the Warrants to be divided or combined in accordance with such notice. All Warrants issued on transfers or exchanges shall be dated the initial issuance date of this Warrant and shall be identical with this Warrant except as to the number of Warrant Shares issuable pursuant thereto.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Warrant Register</w:t>
      </w:r>
      <w:r>
        <w:rPr>
          <w:rFonts w:ascii="Times New Roman" w:hAnsi="Times New Roman"/>
          <w:sz w:val="20"/>
        </w:rPr>
        <w:t>. The Company shall register this Warrant, upon records to be maintained by the Company for that purpose (the “</w:t>
      </w:r>
      <w:r>
        <w:rPr>
          <w:rFonts w:ascii="Times New Roman" w:hAnsi="Times New Roman"/>
          <w:sz w:val="20"/>
          <w:u w:val="single"/>
        </w:rPr>
        <w:t>Warrant Register</w:t>
      </w:r>
      <w:r>
        <w:rPr>
          <w:rFonts w:ascii="Times New Roman" w:hAnsi="Times New Roman"/>
          <w:sz w:val="20"/>
        </w:rPr>
        <w:t xml:space="preserve">”),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Miscellaneous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Currency</w:t>
      </w:r>
      <w:r>
        <w:rPr>
          <w:rFonts w:ascii="Times New Roman" w:hAnsi="Times New Roman"/>
          <w:sz w:val="20"/>
        </w:rPr>
        <w:t>. Unless otherwise indicated, all dollar amounts referred to in this Warrant are in United States Dollars (“</w:t>
      </w:r>
      <w:r>
        <w:rPr>
          <w:rFonts w:ascii="Times New Roman" w:hAnsi="Times New Roman"/>
          <w:sz w:val="20"/>
          <w:u w:val="single"/>
        </w:rPr>
        <w:t>U.S. Dollars</w:t>
      </w:r>
      <w:r>
        <w:rPr>
          <w:rFonts w:ascii="Times New Roman" w:hAnsi="Times New Roman"/>
          <w:sz w:val="20"/>
        </w:rPr>
        <w:t>”). All amounts owing under this Warrant shall be paid in U.S. Dollars. All amounts denominated in other currencies shall be converted in the U.S. Dollar equivalent amount in accordance with the Exchange Rate on the date of calculation. “</w:t>
      </w:r>
      <w:r>
        <w:rPr>
          <w:rFonts w:ascii="Times New Roman" w:hAnsi="Times New Roman"/>
          <w:sz w:val="20"/>
          <w:u w:val="single"/>
        </w:rPr>
        <w:t>Exchange Rate</w:t>
      </w:r>
      <w:r>
        <w:rPr>
          <w:rFonts w:ascii="Times New Roman" w:hAnsi="Times New Roman"/>
          <w:sz w:val="20"/>
        </w:rPr>
        <w:t xml:space="preserve">” means, in relation to any amount of currency to be converted into U.S. Dollars pursuant to this Warrant, the U.S. Dollar exchange rate as published in the Wall Street Journal (NY edition) on the relevant date of calculation.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No Rights as Stockholder Until Exercise; No Settlement in Cash</w:t>
      </w:r>
      <w:r>
        <w:rPr>
          <w:rFonts w:ascii="Times New Roman" w:hAnsi="Times New Roman"/>
          <w:sz w:val="20"/>
        </w:rPr>
        <w:t xml:space="preserve">. This Warrant does not entitle the Holder to any voting rights, dividends or other rights as a stockholder of the Company prior to the exercise hereof as set forth in Section 2(d)(i), except as expressly set forth in Section 3. Without limiting any rights of a Holder to receive Warrant Shares on a “cashless exercise” pursuant to Section 2(c) or to receive cash payments pursuant to Section 2(d)(i) and Section 2(d)(iv) herein, in no event shall the Company be required to net cash settle an exercise of this Warrant.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Loss, Theft, Destruction or Mutilation of Warrant</w:t>
      </w:r>
      <w:r>
        <w:rPr>
          <w:rFonts w:ascii="Times New Roman" w:hAnsi="Times New Roman"/>
          <w:sz w:val="20"/>
        </w:rPr>
        <w:t xml:space="preserve">.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this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Saturdays, Sundays, Holidays, etc</w:t>
      </w:r>
      <w:r>
        <w:rPr>
          <w:rFonts w:ascii="Times New Roman" w:hAnsi="Times New Roman"/>
          <w:sz w:val="20"/>
        </w:rPr>
        <w:t xml:space="preserve">. If the last or appointed day for the taking of any action or the expiration of any right required or granted herein shall not be a Trading Day, then such action may be taken or such right may be exercised on the next succeeding Trading Day.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Authorized Shares</w:t>
      </w:r>
      <w:r>
        <w:rPr>
          <w:rFonts w:ascii="Times New Roman" w:hAnsi="Times New Roman"/>
          <w:sz w:val="20"/>
        </w:rPr>
        <w:t xml:space="preserve">. The Company covenants that, during the period this Warrant is outstanding, it will reserve from its authorized and unissued shares of Common Stock a sufficient number of shares to provide for the issuance of the Warrant Shares underlying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and delivered,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 </w:t>
      </w:r>
    </w:p>
    <w:p>
      <w:pPr>
        <w:pStyle w:val="TextBody"/>
        <w:bidi w:val="0"/>
        <w:spacing w:before="240" w:after="0"/>
        <w:jc w:val="left"/>
        <w:rPr>
          <w:rFonts w:ascii="Times New Roman" w:hAnsi="Times New Roman"/>
          <w:sz w:val="20"/>
        </w:rPr>
      </w:pPr>
      <w:r>
        <w:rPr>
          <w:rFonts w:ascii="Times New Roman" w:hAnsi="Times New Roman"/>
          <w:sz w:val="20"/>
        </w:rPr>
        <w:t xml:space="preserve">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Jurisdiction</w:t>
      </w:r>
      <w:r>
        <w:rPr>
          <w:rFonts w:ascii="Times New Roman" w:hAnsi="Times New Roman"/>
          <w:sz w:val="20"/>
        </w:rPr>
        <w:t xml:space="preserve">. All questions concerning the construction, validity, enforcement and interpretation of this Warrant shall be determined in accordance with the provisions of the Securities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Restrictions</w:t>
      </w:r>
      <w:r>
        <w:rPr>
          <w:rFonts w:ascii="Times New Roman" w:hAnsi="Times New Roman"/>
          <w:sz w:val="20"/>
        </w:rPr>
        <w:t xml:space="preserve">. The Holder acknowledges that the Warrant Shares acquired upon the exercise of this Warrant, if not registered, and if the Holder does not utilize cashless exercise, will have restrictions upon resale imposed by state, federal or foreign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Nonwaiver and Expenses</w:t>
      </w:r>
      <w:r>
        <w:rPr>
          <w:rFonts w:ascii="Times New Roman" w:hAnsi="Times New Roman"/>
          <w:sz w:val="20"/>
        </w:rPr>
        <w:t xml:space="preserve">. No course of dealing or any delay or failure to exercise any right hereunder on the part of Holder shall operate as a waiver of such right or otherwise prejudice the Holder’s rights, powers or remedies. Without limiting any other provision of this Warrant or the Securities Purchase Agreement,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Notices</w:t>
      </w:r>
      <w:r>
        <w:rPr>
          <w:rFonts w:ascii="Times New Roman" w:hAnsi="Times New Roman"/>
          <w:sz w:val="20"/>
        </w:rPr>
        <w:t>. Any notice, request or other document required or permitted to be given or delivered by the Holder to the Company shall be delivered, mailed or sent to the Company at 11555 Sorrento Valley Road, Suite 100, San Diego, CA 92121, Attention: Executive Chairman, Email: kemurph@organovo.com. Any notice, request or other document required or permitted to be given or delivered by the Company to the Holder shall be delivered, mailed or sent to the Holder at the address or email address of such Holder appearing on the books of the Company.</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Limitation of Liability</w:t>
      </w:r>
      <w:r>
        <w:rPr>
          <w:rFonts w:ascii="Times New Roman" w:hAnsi="Times New Roman"/>
          <w:sz w:val="20"/>
        </w:rPr>
        <w:t xml:space="preserve">. No provision hereof, in the absence of any affirmative action by the Holder to exercise this Warrant to purchase Warrant Shares, and no enumeration herein of the rights or privileges of the Holder, shall give rise to any liability of the Holder for the purchase price of any shares of Common Stock or as a stockholder of the Company, whether such liability is asserted by the Company or by creditors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Remedies</w:t>
      </w:r>
      <w:r>
        <w:rPr>
          <w:rFonts w:ascii="Times New Roman" w:hAnsi="Times New Roman"/>
          <w:sz w:val="20"/>
        </w:rPr>
        <w:t xml:space="preserve">.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Successors and Assigns</w:t>
      </w:r>
      <w:r>
        <w:rPr>
          <w:rFonts w:ascii="Times New Roman" w:hAnsi="Times New Roman"/>
          <w:sz w:val="20"/>
        </w:rPr>
        <w:t xml:space="preserve">.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 </w:t>
      </w:r>
    </w:p>
    <w:p>
      <w:pPr>
        <w:pStyle w:val="TextBody"/>
        <w:bidi w:val="0"/>
        <w:spacing w:before="24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Amendment</w:t>
      </w:r>
      <w:r>
        <w:rPr>
          <w:rFonts w:ascii="Times New Roman" w:hAnsi="Times New Roman"/>
          <w:sz w:val="20"/>
        </w:rPr>
        <w:t xml:space="preserve">. This Warrant may be modified or amended or the provisions hereof waived with the written consent of the Company and the Holder. </w:t>
      </w:r>
    </w:p>
    <w:p>
      <w:pPr>
        <w:pStyle w:val="TextBody"/>
        <w:bidi w:val="0"/>
        <w:spacing w:before="240" w:after="0"/>
        <w:jc w:val="left"/>
        <w:rPr>
          <w:rFonts w:ascii="Times New Roman" w:hAnsi="Times New Roman"/>
          <w:sz w:val="20"/>
        </w:rPr>
      </w:pPr>
      <w:r>
        <w:rPr>
          <w:rFonts w:ascii="Times New Roman" w:hAnsi="Times New Roman"/>
          <w:sz w:val="20"/>
        </w:rPr>
        <w:t xml:space="preserve">(n) </w:t>
      </w:r>
      <w:r>
        <w:rPr>
          <w:rFonts w:ascii="Times New Roman" w:hAnsi="Times New Roman"/>
          <w:sz w:val="20"/>
          <w:u w:val="single"/>
        </w:rPr>
        <w:t>Severability</w:t>
      </w:r>
      <w:r>
        <w:rPr>
          <w:rFonts w:ascii="Times New Roman" w:hAnsi="Times New Roman"/>
          <w:sz w:val="20"/>
        </w:rPr>
        <w:t xml:space="preserve">.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 </w:t>
      </w:r>
    </w:p>
    <w:p>
      <w:pPr>
        <w:pStyle w:val="TextBody"/>
        <w:bidi w:val="0"/>
        <w:spacing w:before="240" w:after="0"/>
        <w:jc w:val="left"/>
        <w:rPr>
          <w:rFonts w:ascii="Times New Roman" w:hAnsi="Times New Roman"/>
          <w:sz w:val="20"/>
        </w:rPr>
      </w:pPr>
      <w:r>
        <w:rPr>
          <w:rFonts w:ascii="Times New Roman" w:hAnsi="Times New Roman"/>
          <w:sz w:val="20"/>
        </w:rPr>
        <w:t xml:space="preserve">(o) </w:t>
      </w:r>
      <w:r>
        <w:rPr>
          <w:rFonts w:ascii="Times New Roman" w:hAnsi="Times New Roman"/>
          <w:sz w:val="20"/>
          <w:u w:val="single"/>
        </w:rPr>
        <w:t>Headings</w:t>
      </w:r>
      <w:r>
        <w:rPr>
          <w:rFonts w:ascii="Times New Roman" w:hAnsi="Times New Roman"/>
          <w:sz w:val="20"/>
        </w:rPr>
        <w:t xml:space="preserve">. The headings used in this Warrant are for the convenience of reference only and shall not, for any purpose, be deemed a part of this Warrant.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(Signature Page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Company has caused this Warrant to be executed by its officer thereunto duly authorized as of the date first above indicated.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1053"/>
        <w:gridCol w:w="61"/>
        <w:gridCol w:w="2968"/>
      </w:tblGrid>
      <w:tr>
        <w:trPr/>
        <w:tc>
          <w:tcPr>
            <w:tcW w:w="1053"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296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   </w:t>
            </w:r>
            <w:r>
              <w:rPr>
                <w:b/>
              </w:rPr>
              <w:t>VIVOSIM LABS, INC.</w:t>
            </w:r>
          </w:p>
        </w:tc>
      </w:tr>
      <w:tr>
        <w:trPr>
          <w:trHeight w:val="240" w:hRule="atLeast"/>
        </w:trPr>
        <w:tc>
          <w:tcPr>
            <w:tcW w:w="1053" w:type="dxa"/>
            <w:tcBorders/>
            <w:vAlign w:val="center"/>
          </w:tcPr>
          <w:p>
            <w:pPr>
              <w:pStyle w:val="TableContents"/>
              <w:bidi w:val="0"/>
              <w:spacing w:before="0" w:after="283"/>
              <w:jc w:val="left"/>
              <w:rPr>
                <w:sz w:val="4"/>
                <w:szCs w:val="4"/>
              </w:rPr>
            </w:pPr>
            <w:r>
              <w:rPr>
                <w:sz w:val="4"/>
                <w:szCs w:val="4"/>
              </w:rPr>
            </w:r>
          </w:p>
        </w:tc>
        <w:tc>
          <w:tcPr>
            <w:tcW w:w="3029" w:type="dxa"/>
            <w:gridSpan w:val="2"/>
            <w:tcBorders/>
            <w:vAlign w:val="center"/>
          </w:tcPr>
          <w:p>
            <w:pPr>
              <w:pStyle w:val="TableContents"/>
              <w:bidi w:val="0"/>
              <w:spacing w:before="0" w:after="283"/>
              <w:jc w:val="left"/>
              <w:rPr>
                <w:sz w:val="4"/>
                <w:szCs w:val="4"/>
              </w:rPr>
            </w:pPr>
            <w:r>
              <w:rPr>
                <w:sz w:val="4"/>
                <w:szCs w:val="4"/>
              </w:rPr>
            </w:r>
          </w:p>
        </w:tc>
      </w:tr>
      <w:tr>
        <w:trPr/>
        <w:tc>
          <w:tcPr>
            <w:tcW w:w="1053" w:type="dxa"/>
            <w:tcBorders/>
          </w:tcPr>
          <w:p>
            <w:pPr>
              <w:pStyle w:val="TableContents"/>
              <w:bidi w:val="0"/>
              <w:spacing w:before="0" w:after="283"/>
              <w:jc w:val="left"/>
              <w:rPr/>
            </w:pPr>
            <w:r>
              <w:rPr/>
              <w:t>   </w:t>
            </w:r>
            <w:r>
              <w:rPr/>
              <w:t>By:</w:t>
            </w:r>
          </w:p>
        </w:tc>
        <w:tc>
          <w:tcPr>
            <w:tcW w:w="61" w:type="dxa"/>
            <w:tcBorders/>
            <w:vAlign w:val="bottom"/>
          </w:tcPr>
          <w:p>
            <w:pPr>
              <w:pStyle w:val="TableContents"/>
              <w:bidi w:val="0"/>
              <w:spacing w:before="0" w:after="283"/>
              <w:jc w:val="left"/>
              <w:rPr/>
            </w:pPr>
            <w:r>
              <w:rPr/>
              <w:t> </w:t>
            </w:r>
          </w:p>
        </w:tc>
        <w:tc>
          <w:tcPr>
            <w:tcW w:w="2968" w:type="dxa"/>
            <w:tcBorders/>
          </w:tcPr>
          <w:p>
            <w:pPr>
              <w:pStyle w:val="TableContents"/>
              <w:pBdr>
                <w:bottom w:val="single" w:sz="2" w:space="1" w:color="000000"/>
              </w:pBdr>
              <w:bidi w:val="0"/>
              <w:spacing w:before="0" w:after="20"/>
              <w:jc w:val="left"/>
              <w:rPr/>
            </w:pPr>
            <w:r>
              <w:rPr/>
              <w:t> </w:t>
            </w:r>
          </w:p>
        </w:tc>
      </w:tr>
      <w:tr>
        <w:trPr/>
        <w:tc>
          <w:tcPr>
            <w:tcW w:w="1053"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2968" w:type="dxa"/>
            <w:tcBorders/>
          </w:tcPr>
          <w:p>
            <w:pPr>
              <w:pStyle w:val="TableContents"/>
              <w:bidi w:val="0"/>
              <w:spacing w:before="0" w:after="283"/>
              <w:jc w:val="left"/>
              <w:rPr/>
            </w:pPr>
            <w:r>
              <w:rPr/>
              <w:t>Name:</w:t>
            </w:r>
          </w:p>
        </w:tc>
      </w:tr>
      <w:tr>
        <w:trPr/>
        <w:tc>
          <w:tcPr>
            <w:tcW w:w="1053"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2968" w:type="dxa"/>
            <w:tcBorders/>
          </w:tcPr>
          <w:p>
            <w:pPr>
              <w:pStyle w:val="TableContents"/>
              <w:bidi w:val="0"/>
              <w:spacing w:before="0" w:after="283"/>
              <w:jc w:val="left"/>
              <w:rPr/>
            </w:pPr>
            <w:r>
              <w:rPr/>
              <w:t>Title:</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i/>
          <w:sz w:val="20"/>
        </w:rPr>
      </w:pPr>
      <w:r>
        <w:rPr>
          <w:rFonts w:ascii="Times New Roman" w:hAnsi="Times New Roman"/>
          <w:i/>
          <w:sz w:val="20"/>
        </w:rPr>
        <w:t xml:space="preserve">[Signature Page to Common Warrant]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A </w:t>
      </w:r>
    </w:p>
    <w:p>
      <w:pPr>
        <w:pStyle w:val="TextBody"/>
        <w:bidi w:val="0"/>
        <w:spacing w:before="240" w:after="0"/>
        <w:jc w:val="center"/>
        <w:rPr>
          <w:rFonts w:ascii="Times New Roman" w:hAnsi="Times New Roman"/>
          <w:b/>
          <w:sz w:val="20"/>
        </w:rPr>
      </w:pPr>
      <w:r>
        <w:rPr>
          <w:rFonts w:ascii="Times New Roman" w:hAnsi="Times New Roman"/>
          <w:b/>
          <w:sz w:val="20"/>
        </w:rPr>
        <w:t xml:space="preserve">NOTICE OF EXERCISE </w:t>
      </w:r>
    </w:p>
    <w:p>
      <w:pPr>
        <w:pStyle w:val="TextBody"/>
        <w:bidi w:val="0"/>
        <w:spacing w:before="240" w:after="0"/>
        <w:jc w:val="left"/>
        <w:rPr>
          <w:rFonts w:ascii="Times New Roman" w:hAnsi="Times New Roman"/>
          <w:sz w:val="20"/>
        </w:rPr>
      </w:pPr>
      <w:r>
        <w:rPr>
          <w:rFonts w:ascii="Times New Roman" w:hAnsi="Times New Roman"/>
          <w:sz w:val="20"/>
        </w:rPr>
        <w:t xml:space="preserve">TO: </w:t>
      </w:r>
      <w:r>
        <w:rPr>
          <w:rFonts w:ascii="Times New Roman" w:hAnsi="Times New Roman"/>
          <w:b/>
          <w:sz w:val="20"/>
        </w:rPr>
        <w:t>VIVOSIM LABS, INC.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 The undersigned hereby elects to purchase ________ Warrant Shares of the Company pursuant to the terms of the attached Warrant (only if exercised in full), and tenders herewith payment of the exercise price in full, together with all applicable transfer taxes, if any. </w:t>
      </w:r>
    </w:p>
    <w:p>
      <w:pPr>
        <w:pStyle w:val="TextBody"/>
        <w:bidi w:val="0"/>
        <w:spacing w:before="240" w:after="0"/>
        <w:jc w:val="left"/>
        <w:rPr>
          <w:rFonts w:ascii="Times New Roman" w:hAnsi="Times New Roman"/>
          <w:sz w:val="20"/>
        </w:rPr>
      </w:pPr>
      <w:r>
        <w:rPr>
          <w:rFonts w:ascii="Times New Roman" w:hAnsi="Times New Roman"/>
          <w:sz w:val="20"/>
        </w:rPr>
        <w:t xml:space="preserve">(2) Payment shall take the form of (check applicable box): </w:t>
      </w:r>
    </w:p>
    <w:p>
      <w:pPr>
        <w:pStyle w:val="TextBody"/>
        <w:bidi w:val="0"/>
        <w:spacing w:before="240" w:after="0"/>
        <w:jc w:val="left"/>
        <w:rPr/>
      </w:pPr>
      <w:r>
        <w:rPr/>
        <w:t xml:space="preserve">☐ </w:t>
      </w:r>
      <w:r>
        <w:rPr>
          <w:rFonts w:ascii="Times New Roman" w:hAnsi="Times New Roman"/>
          <w:sz w:val="20"/>
        </w:rPr>
        <w:t xml:space="preserve">in lawful money of the United States; or </w:t>
      </w:r>
    </w:p>
    <w:p>
      <w:pPr>
        <w:pStyle w:val="TextBody"/>
        <w:bidi w:val="0"/>
        <w:spacing w:before="240" w:after="0"/>
        <w:jc w:val="left"/>
        <w:rPr/>
      </w:pPr>
      <w:r>
        <w:rPr/>
        <w:t xml:space="preserve">☐ </w:t>
      </w:r>
      <w:r>
        <w:rPr>
          <w:rFonts w:ascii="Times New Roman" w:hAnsi="Times New Roman"/>
          <w:sz w:val="20"/>
        </w:rPr>
        <w:t xml:space="preserve">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 </w:t>
      </w:r>
    </w:p>
    <w:p>
      <w:pPr>
        <w:pStyle w:val="TextBody"/>
        <w:bidi w:val="0"/>
        <w:spacing w:before="240" w:after="0"/>
        <w:jc w:val="left"/>
        <w:rPr>
          <w:rFonts w:ascii="Times New Roman" w:hAnsi="Times New Roman"/>
          <w:sz w:val="20"/>
        </w:rPr>
      </w:pPr>
      <w:r>
        <w:rPr>
          <w:rFonts w:ascii="Times New Roman" w:hAnsi="Times New Roman"/>
          <w:sz w:val="20"/>
        </w:rPr>
        <w:t xml:space="preserve">(3) Please issue said Warrant Shares in the name of the undersigned or in such other name as is specified below: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bottom"/>
          </w:tcPr>
          <w:p>
            <w:pPr>
              <w:pStyle w:val="TableContents"/>
              <w:bidi w:val="0"/>
              <w:spacing w:before="0" w:after="283"/>
              <w:jc w:val="left"/>
              <w:rPr/>
            </w:pPr>
            <w:r>
              <w:rPr/>
              <w:t>The Warrant Shares shall be delivered to the following DWAC Account Number:</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bottom"/>
          </w:tcPr>
          <w:p>
            <w:pPr>
              <w:pStyle w:val="TableContents"/>
              <w:bidi w:val="0"/>
              <w:spacing w:before="0" w:after="283"/>
              <w:jc w:val="left"/>
              <w:rPr/>
            </w:pPr>
            <w:r>
              <w:rPr/>
              <w:t>[SIGNATURE OF HOLDER]</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283"/>
              <w:jc w:val="left"/>
              <w:rPr/>
            </w:pPr>
            <w:r>
              <w:rPr/>
              <w:t>Name of Investing Entity:</w:t>
            </w:r>
          </w:p>
        </w:tc>
      </w:tr>
      <w:tr>
        <w:trPr/>
        <w:tc>
          <w:tcPr>
            <w:tcW w:w="10205" w:type="dxa"/>
            <w:tcBorders/>
          </w:tcPr>
          <w:p>
            <w:pPr>
              <w:pStyle w:val="TableContents"/>
              <w:bidi w:val="0"/>
              <w:spacing w:before="0" w:after="283"/>
              <w:jc w:val="left"/>
              <w:rPr/>
            </w:pPr>
            <w:r>
              <w:rPr>
                <w:i/>
              </w:rPr>
              <w:t>Signature of Authorized Signatory of Investing Entity</w:t>
            </w:r>
            <w:r>
              <w:rPr/>
              <w:t>:</w:t>
            </w:r>
          </w:p>
        </w:tc>
      </w:tr>
      <w:tr>
        <w:trPr/>
        <w:tc>
          <w:tcPr>
            <w:tcW w:w="10205" w:type="dxa"/>
            <w:tcBorders/>
          </w:tcPr>
          <w:p>
            <w:pPr>
              <w:pStyle w:val="TableContents"/>
              <w:bidi w:val="0"/>
              <w:spacing w:before="0" w:after="283"/>
              <w:jc w:val="left"/>
              <w:rPr/>
            </w:pPr>
            <w:r>
              <w:rPr/>
              <w:t>Name of Authorized Signatory:</w:t>
            </w:r>
          </w:p>
        </w:tc>
      </w:tr>
      <w:tr>
        <w:trPr/>
        <w:tc>
          <w:tcPr>
            <w:tcW w:w="10205" w:type="dxa"/>
            <w:tcBorders/>
          </w:tcPr>
          <w:p>
            <w:pPr>
              <w:pStyle w:val="TableContents"/>
              <w:bidi w:val="0"/>
              <w:spacing w:before="0" w:after="283"/>
              <w:jc w:val="left"/>
              <w:rPr/>
            </w:pPr>
            <w:r>
              <w:rPr/>
              <w:t>Title of Authorized Signatory:</w:t>
            </w:r>
          </w:p>
        </w:tc>
      </w:tr>
      <w:tr>
        <w:trPr/>
        <w:tc>
          <w:tcPr>
            <w:tcW w:w="10205" w:type="dxa"/>
            <w:tcBorders/>
          </w:tcPr>
          <w:p>
            <w:pPr>
              <w:pStyle w:val="TableContents"/>
              <w:bidi w:val="0"/>
              <w:spacing w:before="0" w:after="283"/>
              <w:jc w:val="left"/>
              <w:rPr/>
            </w:pPr>
            <w:r>
              <w:rPr/>
              <w:t>Date:</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B </w:t>
      </w:r>
    </w:p>
    <w:p>
      <w:pPr>
        <w:pStyle w:val="TextBody"/>
        <w:bidi w:val="0"/>
        <w:spacing w:before="240" w:after="0"/>
        <w:jc w:val="center"/>
        <w:rPr>
          <w:rFonts w:ascii="Times New Roman" w:hAnsi="Times New Roman"/>
          <w:b/>
          <w:sz w:val="20"/>
        </w:rPr>
      </w:pPr>
      <w:r>
        <w:rPr>
          <w:rFonts w:ascii="Times New Roman" w:hAnsi="Times New Roman"/>
          <w:b/>
          <w:sz w:val="20"/>
        </w:rPr>
        <w:t xml:space="preserve">ASSIGNMENT FORM </w:t>
      </w:r>
    </w:p>
    <w:p>
      <w:pPr>
        <w:pStyle w:val="TextBody"/>
        <w:bidi w:val="0"/>
        <w:spacing w:before="240" w:after="0"/>
        <w:jc w:val="left"/>
        <w:rPr>
          <w:rFonts w:ascii="Times New Roman" w:hAnsi="Times New Roman"/>
          <w:i/>
          <w:sz w:val="20"/>
        </w:rPr>
      </w:pPr>
      <w:r>
        <w:rPr>
          <w:rFonts w:ascii="Times New Roman" w:hAnsi="Times New Roman"/>
          <w:i/>
          <w:sz w:val="20"/>
        </w:rPr>
        <w:t xml:space="preserve">(To assign the foregoing Warrant, execute this form and supply required information. Do not use this form to purchase shares.) </w:t>
      </w:r>
    </w:p>
    <w:p>
      <w:pPr>
        <w:pStyle w:val="TextBody"/>
        <w:bidi w:val="0"/>
        <w:spacing w:before="240" w:after="0"/>
        <w:jc w:val="left"/>
        <w:rPr>
          <w:rFonts w:ascii="Times New Roman" w:hAnsi="Times New Roman"/>
          <w:sz w:val="20"/>
        </w:rPr>
      </w:pPr>
      <w:r>
        <w:rPr>
          <w:rFonts w:ascii="Times New Roman" w:hAnsi="Times New Roman"/>
          <w:sz w:val="20"/>
        </w:rPr>
        <w:t xml:space="preserve">FOR VALUE RECEIVED, the foregoing Warrant and all rights evidenced thereby are hereby assigned 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283"/>
              <w:jc w:val="left"/>
              <w:rPr/>
            </w:pPr>
            <w:r>
              <w:rPr/>
              <w:t>Name:</w:t>
            </w:r>
          </w:p>
        </w:tc>
      </w:tr>
      <w:tr>
        <w:trPr/>
        <w:tc>
          <w:tcPr>
            <w:tcW w:w="10205" w:type="dxa"/>
            <w:tcBorders/>
          </w:tcPr>
          <w:p>
            <w:pPr>
              <w:pStyle w:val="TableContents"/>
              <w:bidi w:val="0"/>
              <w:spacing w:before="0" w:after="283"/>
              <w:jc w:val="left"/>
              <w:rPr/>
            </w:pPr>
            <w:r>
              <w:rPr/>
              <w:t>(Please Print)</w:t>
            </w:r>
          </w:p>
        </w:tc>
      </w:tr>
      <w:tr>
        <w:trPr/>
        <w:tc>
          <w:tcPr>
            <w:tcW w:w="10205" w:type="dxa"/>
            <w:tcBorders/>
          </w:tcPr>
          <w:p>
            <w:pPr>
              <w:pStyle w:val="TableContents"/>
              <w:bidi w:val="0"/>
              <w:spacing w:before="0" w:after="283"/>
              <w:jc w:val="left"/>
              <w:rPr/>
            </w:pPr>
            <w:r>
              <w:rPr/>
              <w:t>Address:</w:t>
            </w:r>
          </w:p>
        </w:tc>
      </w:tr>
      <w:tr>
        <w:trPr/>
        <w:tc>
          <w:tcPr>
            <w:tcW w:w="10205" w:type="dxa"/>
            <w:tcBorders/>
          </w:tcPr>
          <w:p>
            <w:pPr>
              <w:pStyle w:val="TableContents"/>
              <w:bidi w:val="0"/>
              <w:spacing w:before="0" w:after="283"/>
              <w:jc w:val="left"/>
              <w:rPr/>
            </w:pPr>
            <w:r>
              <w:rPr/>
              <w:t>(Please Print)</w:t>
            </w:r>
          </w:p>
        </w:tc>
      </w:tr>
      <w:tr>
        <w:trPr/>
        <w:tc>
          <w:tcPr>
            <w:tcW w:w="10205" w:type="dxa"/>
            <w:tcBorders/>
          </w:tcPr>
          <w:p>
            <w:pPr>
              <w:pStyle w:val="TableContents"/>
              <w:bidi w:val="0"/>
              <w:spacing w:before="0" w:after="283"/>
              <w:jc w:val="left"/>
              <w:rPr/>
            </w:pPr>
            <w:r>
              <w:rPr/>
              <w:t>Phone Number:</w:t>
            </w:r>
          </w:p>
        </w:tc>
      </w:tr>
      <w:tr>
        <w:trPr/>
        <w:tc>
          <w:tcPr>
            <w:tcW w:w="10205" w:type="dxa"/>
            <w:tcBorders/>
          </w:tcPr>
          <w:p>
            <w:pPr>
              <w:pStyle w:val="TableContents"/>
              <w:bidi w:val="0"/>
              <w:spacing w:before="0" w:after="283"/>
              <w:jc w:val="left"/>
              <w:rPr/>
            </w:pPr>
            <w:r>
              <w:rPr/>
              <w:t>Email Address:</w:t>
            </w:r>
          </w:p>
        </w:tc>
      </w:tr>
      <w:tr>
        <w:trPr/>
        <w:tc>
          <w:tcPr>
            <w:tcW w:w="10205" w:type="dxa"/>
            <w:tcBorders/>
          </w:tcPr>
          <w:p>
            <w:pPr>
              <w:pStyle w:val="TableContents"/>
              <w:bidi w:val="0"/>
              <w:spacing w:before="0" w:after="283"/>
              <w:jc w:val="left"/>
              <w:rPr/>
            </w:pPr>
            <w:r>
              <w:rPr/>
              <w:t>Dated:</w:t>
            </w:r>
          </w:p>
        </w:tc>
      </w:tr>
      <w:tr>
        <w:trPr/>
        <w:tc>
          <w:tcPr>
            <w:tcW w:w="10205" w:type="dxa"/>
            <w:tcBorders/>
          </w:tcPr>
          <w:p>
            <w:pPr>
              <w:pStyle w:val="TableContents"/>
              <w:bidi w:val="0"/>
              <w:spacing w:before="0" w:after="283"/>
              <w:jc w:val="left"/>
              <w:rPr/>
            </w:pPr>
            <w:r>
              <w:rPr/>
              <w:t>Holder’s Signature:</w:t>
            </w:r>
          </w:p>
        </w:tc>
      </w:tr>
      <w:tr>
        <w:trPr/>
        <w:tc>
          <w:tcPr>
            <w:tcW w:w="10205" w:type="dxa"/>
            <w:tcBorders/>
          </w:tcPr>
          <w:p>
            <w:pPr>
              <w:pStyle w:val="TableContents"/>
              <w:bidi w:val="0"/>
              <w:spacing w:before="0" w:after="283"/>
              <w:jc w:val="left"/>
              <w:rPr/>
            </w:pPr>
            <w:r>
              <w:rPr/>
              <w:t>Holder’s Address:</w:t>
            </w:r>
          </w:p>
        </w:tc>
      </w:tr>
    </w:tbl>
    <w:p>
      <w:pPr>
        <w:pStyle w:val="TextBody"/>
        <w:bidi w:val="0"/>
        <w:spacing w:before="0" w:after="0"/>
        <w:jc w:val="right"/>
        <w:rPr>
          <w:rFonts w:ascii="Times New Roman" w:hAnsi="Times New Roman"/>
          <w:b/>
          <w:sz w:val="20"/>
        </w:rPr>
      </w:pPr>
      <w:bookmarkStart w:id="6" w:name="d134319dex43.htm"/>
      <w:bookmarkStart w:id="7" w:name="ksd134319dex43"/>
      <w:bookmarkEnd w:id="6"/>
      <w:bookmarkEnd w:id="7"/>
      <w:r>
        <w:rPr>
          <w:rFonts w:ascii="Times New Roman" w:hAnsi="Times New Roman"/>
          <w:b/>
          <w:sz w:val="20"/>
        </w:rPr>
        <w:t xml:space="preserve">Exhibit 4.3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AMENDMENT TO </w:t>
      </w:r>
    </w:p>
    <w:p>
      <w:pPr>
        <w:pStyle w:val="TextBody"/>
        <w:bidi w:val="0"/>
        <w:spacing w:before="0" w:after="0"/>
        <w:jc w:val="center"/>
        <w:rPr>
          <w:rFonts w:ascii="Times New Roman" w:hAnsi="Times New Roman"/>
          <w:b/>
          <w:sz w:val="20"/>
        </w:rPr>
      </w:pPr>
      <w:r>
        <w:rPr>
          <w:rFonts w:ascii="Times New Roman" w:hAnsi="Times New Roman"/>
          <w:b/>
          <w:sz w:val="20"/>
        </w:rPr>
        <w:t xml:space="preserve">COMMON STOCK PURCHASE WARRANT </w:t>
      </w:r>
    </w:p>
    <w:p>
      <w:pPr>
        <w:pStyle w:val="TextBody"/>
        <w:bidi w:val="0"/>
        <w:spacing w:before="240" w:after="0"/>
        <w:jc w:val="left"/>
        <w:rPr>
          <w:rFonts w:ascii="Times New Roman" w:hAnsi="Times New Roman"/>
          <w:sz w:val="20"/>
        </w:rPr>
      </w:pPr>
      <w:r>
        <w:rPr>
          <w:rFonts w:ascii="Times New Roman" w:hAnsi="Times New Roman"/>
          <w:sz w:val="20"/>
        </w:rPr>
        <w:t>This AMENDMENT TO COMMON STOCK PURCHASE WARRANT (this “</w:t>
      </w:r>
      <w:r>
        <w:rPr>
          <w:rFonts w:ascii="Times New Roman" w:hAnsi="Times New Roman"/>
          <w:sz w:val="20"/>
          <w:u w:val="single"/>
        </w:rPr>
        <w:t>Amendment</w:t>
      </w:r>
      <w:r>
        <w:rPr>
          <w:rFonts w:ascii="Times New Roman" w:hAnsi="Times New Roman"/>
          <w:sz w:val="20"/>
        </w:rPr>
        <w:t>”) is entered into as of July 16, 2026, by and between VivoSim Labs, Inc., a Delaware corporation (the “</w:t>
      </w:r>
      <w:r>
        <w:rPr>
          <w:rFonts w:ascii="Times New Roman" w:hAnsi="Times New Roman"/>
          <w:sz w:val="20"/>
          <w:u w:val="single"/>
        </w:rPr>
        <w:t>Company</w:t>
      </w:r>
      <w:r>
        <w:rPr>
          <w:rFonts w:ascii="Times New Roman" w:hAnsi="Times New Roman"/>
          <w:sz w:val="20"/>
        </w:rPr>
        <w:t>”), and Armistice Capital Master Fund Ltd. (the “</w:t>
      </w:r>
      <w:r>
        <w:rPr>
          <w:rFonts w:ascii="Times New Roman" w:hAnsi="Times New Roman"/>
          <w:sz w:val="20"/>
          <w:u w:val="single"/>
        </w:rPr>
        <w:t>Holder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the Company issued to the Holder those certain Common Stock Purchase Warrants (the “</w:t>
      </w:r>
      <w:r>
        <w:rPr>
          <w:rFonts w:ascii="Times New Roman" w:hAnsi="Times New Roman"/>
          <w:sz w:val="20"/>
          <w:u w:val="single"/>
        </w:rPr>
        <w:t>Original Warrants</w:t>
      </w:r>
      <w:r>
        <w:rPr>
          <w:rFonts w:ascii="Times New Roman" w:hAnsi="Times New Roman"/>
          <w:sz w:val="20"/>
        </w:rPr>
        <w:t xml:space="preserve">”) on May 13, 2024;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the Original Warrants are exercisable, in the aggregate, for up to 520,833 shares of the Company’s Common Stock, par value of $0.001 per share, (the “</w:t>
      </w:r>
      <w:r>
        <w:rPr>
          <w:rFonts w:ascii="Times New Roman" w:hAnsi="Times New Roman"/>
          <w:sz w:val="20"/>
          <w:u w:val="single"/>
        </w:rPr>
        <w:t>Shares</w:t>
      </w:r>
      <w:r>
        <w:rPr>
          <w:rFonts w:ascii="Times New Roman" w:hAnsi="Times New Roman"/>
          <w:sz w:val="20"/>
        </w:rPr>
        <w:t xml:space="preserve">”), at a per share exercise price equal to $9.60 (as reflected for previous stock splits);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for the avoidance of doubt, the Company effected a name change on April 24, 2025 to change its name from Organovo Holdings, Inc. to VivoSim Labs, Inc.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pursuant to Section 5(l) of the Original Warrants, the Original Warrants may be modified or amended, or the provisions thereof waived, with the written consent of the Company and the Holder; and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Company and the Holder desire to amend the Original Warrants as set forth in this Amendment. </w:t>
      </w:r>
    </w:p>
    <w:p>
      <w:pPr>
        <w:pStyle w:val="TextBody"/>
        <w:bidi w:val="0"/>
        <w:spacing w:before="240" w:after="0"/>
        <w:jc w:val="left"/>
        <w:rPr>
          <w:rFonts w:ascii="Times New Roman" w:hAnsi="Times New Roman"/>
          <w:sz w:val="20"/>
        </w:rPr>
      </w:pPr>
      <w:r>
        <w:rPr>
          <w:rFonts w:ascii="Times New Roman" w:hAnsi="Times New Roman"/>
          <w:b/>
          <w:sz w:val="20"/>
        </w:rPr>
        <w:t>NOW</w:t>
      </w:r>
      <w:r>
        <w:rPr>
          <w:rFonts w:ascii="Times New Roman" w:hAnsi="Times New Roman"/>
          <w:sz w:val="20"/>
        </w:rPr>
        <w:t xml:space="preserve">, </w:t>
      </w:r>
      <w:r>
        <w:rPr>
          <w:rFonts w:ascii="Times New Roman" w:hAnsi="Times New Roman"/>
          <w:b/>
          <w:sz w:val="20"/>
        </w:rPr>
        <w:t>THEREFORE</w:t>
      </w:r>
      <w:r>
        <w:rPr>
          <w:rFonts w:ascii="Times New Roman" w:hAnsi="Times New Roman"/>
          <w:sz w:val="20"/>
        </w:rPr>
        <w:t xml:space="preserve">, in consideration of the mutual agreements contained herein and other good and valuable consideration, the receipt and sufficiency of which are hereby acknowledged, and intending to be legally bound hereby, the Company and the Holder hereby agree as follows, contingent upon, and effective as of, the Company obtaining the Approval (as defined in Section 6 below):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Amendment to Company</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 “Company” in the Original Warrant is hereby amended and restated from “Organovo Holdings, Inc.” to “Vivosim Labs, Inc.”. </w:t>
            </w:r>
          </w:p>
        </w:tc>
      </w:tr>
    </w:tbl>
    <w:p>
      <w:pPr>
        <w:pStyle w:val="TextBody"/>
        <w:bidi w:val="0"/>
        <w:spacing w:before="120" w:after="0"/>
        <w:jc w:val="left"/>
        <w:rPr>
          <w:rFonts w:ascii="Times New Roman" w:hAnsi="Times New Roman"/>
          <w:sz w:val="20"/>
        </w:rPr>
      </w:pPr>
      <w:r>
        <w:rPr>
          <w:rFonts w:ascii="Times New Roman" w:hAnsi="Times New Roman"/>
          <w:sz w:val="20"/>
        </w:rPr>
        <w:t>2.</w:t>
      </w:r>
      <w:r>
        <w:rPr>
          <w:rFonts w:ascii="Times New Roman" w:hAnsi="Times New Roman"/>
          <w:sz w:val="20"/>
          <w:u w:val="single"/>
        </w:rPr>
        <w:t xml:space="preserve"> Amendment to Expiration Date</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The definition of “Expiration Date” in the Original Warrant is hereby amended and restated as follows: “‘</w:t>
            </w:r>
            <w:r>
              <w:rPr>
                <w:rFonts w:ascii="Times New Roman" w:hAnsi="Times New Roman"/>
                <w:b/>
                <w:sz w:val="20"/>
              </w:rPr>
              <w:t>Expiration Date</w:t>
            </w:r>
            <w:r>
              <w:rPr>
                <w:rFonts w:ascii="Times New Roman" w:hAnsi="Times New Roman"/>
                <w:sz w:val="20"/>
              </w:rPr>
              <w:t>’” means the date that is five (5) years following the anniversary of the Shareholder Approval Date or, if such date falls on a day other than a Business Day or on which trading does not take place on the Principal Market (a “</w:t>
            </w:r>
            <w:r>
              <w:rPr>
                <w:rFonts w:ascii="Times New Roman" w:hAnsi="Times New Roman"/>
                <w:b/>
                <w:sz w:val="20"/>
              </w:rPr>
              <w:t>Holiday</w:t>
            </w:r>
            <w:r>
              <w:rPr>
                <w:rFonts w:ascii="Times New Roman" w:hAnsi="Times New Roman"/>
                <w:sz w:val="20"/>
              </w:rPr>
              <w:t xml:space="preserve">”), the next date that is not a Holiday.” </w:t>
            </w:r>
          </w:p>
        </w:tc>
      </w:tr>
    </w:tbl>
    <w:p>
      <w:pPr>
        <w:pStyle w:val="TextBody"/>
        <w:bidi w:val="0"/>
        <w:spacing w:before="120" w:after="0"/>
        <w:jc w:val="left"/>
        <w:rPr>
          <w:rFonts w:ascii="Times New Roman" w:hAnsi="Times New Roman"/>
          <w:sz w:val="20"/>
        </w:rPr>
      </w:pPr>
      <w:r>
        <w:rPr>
          <w:rFonts w:ascii="Times New Roman" w:hAnsi="Times New Roman"/>
          <w:sz w:val="20"/>
        </w:rPr>
        <w:t>3.</w:t>
      </w:r>
      <w:r>
        <w:rPr>
          <w:rFonts w:ascii="Times New Roman" w:hAnsi="Times New Roman"/>
          <w:sz w:val="20"/>
          <w:u w:val="single"/>
        </w:rPr>
        <w:t xml:space="preserve"> Section 1. Definitions</w:t>
      </w:r>
      <w:r>
        <w:rPr>
          <w:rFonts w:ascii="Times New Roman" w:hAnsi="Times New Roman"/>
          <w:sz w:val="20"/>
        </w:rPr>
        <w:t xml:space="preserve">. Section 16 of the Original Warrant is amended to include the below definitions: </w:t>
      </w:r>
    </w:p>
    <w:p>
      <w:pPr>
        <w:pStyle w:val="TextBody"/>
        <w:bidi w:val="0"/>
        <w:spacing w:before="120" w:after="0"/>
        <w:jc w:val="left"/>
        <w:rPr>
          <w:rFonts w:ascii="Times New Roman" w:hAnsi="Times New Roman"/>
          <w:sz w:val="20"/>
        </w:rPr>
      </w:pPr>
      <w:r>
        <w:rPr>
          <w:rFonts w:ascii="Times New Roman" w:hAnsi="Times New Roman"/>
          <w:sz w:val="20"/>
        </w:rPr>
        <w:t>(o) “</w:t>
      </w:r>
      <w:r>
        <w:rPr>
          <w:rFonts w:ascii="Times New Roman" w:hAnsi="Times New Roman"/>
          <w:b/>
          <w:sz w:val="20"/>
        </w:rPr>
        <w:t>Shareholder Approval</w:t>
      </w:r>
      <w:r>
        <w:rPr>
          <w:rFonts w:ascii="Times New Roman" w:hAnsi="Times New Roman"/>
          <w:sz w:val="20"/>
        </w:rPr>
        <w:t xml:space="preserve">” means such approval from the stockholders of the Company with respect to the issuance of the Warrants and the Warrant Shares upon the exercise thereof. </w:t>
      </w:r>
    </w:p>
    <w:p>
      <w:pPr>
        <w:pStyle w:val="TextBody"/>
        <w:bidi w:val="0"/>
        <w:spacing w:before="120" w:after="0"/>
        <w:jc w:val="left"/>
        <w:rPr>
          <w:rFonts w:ascii="Times New Roman" w:hAnsi="Times New Roman"/>
          <w:sz w:val="20"/>
        </w:rPr>
      </w:pPr>
      <w:r>
        <w:rPr>
          <w:rFonts w:ascii="Times New Roman" w:hAnsi="Times New Roman"/>
          <w:sz w:val="20"/>
        </w:rPr>
        <w:t>(p) “</w:t>
      </w:r>
      <w:r>
        <w:rPr>
          <w:rFonts w:ascii="Times New Roman" w:hAnsi="Times New Roman"/>
          <w:b/>
          <w:sz w:val="20"/>
        </w:rPr>
        <w:t>Shareholder Approval Date</w:t>
      </w:r>
      <w:r>
        <w:rPr>
          <w:rFonts w:ascii="Times New Roman" w:hAnsi="Times New Roman"/>
          <w:sz w:val="20"/>
        </w:rPr>
        <w:t xml:space="preserve">” means the date on which Shareholder Approval is received. </w:t>
      </w:r>
    </w:p>
    <w:p>
      <w:pPr>
        <w:pStyle w:val="TextBody"/>
        <w:bidi w:val="0"/>
        <w:spacing w:before="12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Amendment to Exercise Price</w:t>
      </w:r>
      <w:r>
        <w:rPr>
          <w:rFonts w:ascii="Times New Roman" w:hAnsi="Times New Roman"/>
          <w:sz w:val="20"/>
        </w:rPr>
        <w:t>. On the condition the Company receives the necessary shareholder approval from the shareholders of the Company to reduce the exercise price of the Original Warrants to $0.85 per share (“</w:t>
      </w:r>
      <w:r>
        <w:rPr>
          <w:rFonts w:ascii="Times New Roman" w:hAnsi="Times New Roman"/>
          <w:sz w:val="20"/>
          <w:u w:val="single"/>
        </w:rPr>
        <w:t>Shareholder Approval</w:t>
      </w:r>
      <w:r>
        <w:rPr>
          <w:rFonts w:ascii="Times New Roman" w:hAnsi="Times New Roman"/>
          <w:sz w:val="20"/>
        </w:rPr>
        <w:t xml:space="preserve">”), Section 1(b) of the Original Warrants are hereby amended and restated in its entirety as follows: </w:t>
      </w:r>
    </w:p>
    <w:p>
      <w:pPr>
        <w:pStyle w:val="TextBody"/>
        <w:bidi w:val="0"/>
        <w:spacing w:before="120" w:after="0"/>
        <w:jc w:val="left"/>
        <w:rPr/>
      </w:pPr>
      <w:r>
        <w:rPr/>
        <w:t>“</w:t>
      </w:r>
      <w:r>
        <w:rPr>
          <w:rFonts w:ascii="Times New Roman" w:hAnsi="Times New Roman"/>
          <w:sz w:val="20"/>
        </w:rPr>
        <w:t xml:space="preserve">b) </w:t>
      </w:r>
      <w:r>
        <w:rPr>
          <w:rFonts w:ascii="Times New Roman" w:hAnsi="Times New Roman"/>
          <w:sz w:val="20"/>
          <w:u w:val="single"/>
        </w:rPr>
        <w:t>Exercise Price</w:t>
      </w:r>
      <w:r>
        <w:rPr>
          <w:rFonts w:ascii="Times New Roman" w:hAnsi="Times New Roman"/>
          <w:sz w:val="20"/>
        </w:rPr>
        <w:t>. For purposes of this Warrant, “</w:t>
      </w:r>
      <w:r>
        <w:rPr>
          <w:rFonts w:ascii="Times New Roman" w:hAnsi="Times New Roman"/>
          <w:b/>
          <w:sz w:val="20"/>
        </w:rPr>
        <w:t>Exercise Price</w:t>
      </w:r>
      <w:r>
        <w:rPr>
          <w:rFonts w:ascii="Times New Roman" w:hAnsi="Times New Roman"/>
          <w:sz w:val="20"/>
        </w:rPr>
        <w:t xml:space="preserve">” means $0.85 per share of Common Stock, subject to adjustment as provided herein.”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Amendment to Fundamental Transaction</w:t>
      </w:r>
      <w:r>
        <w:rPr>
          <w:rFonts w:ascii="Times New Roman" w:hAnsi="Times New Roman"/>
          <w:sz w:val="20"/>
        </w:rPr>
        <w:t xml:space="preserve">. Section 4(b) of the Original Warrants are hereby amended and restated in its entirety as follows: </w:t>
      </w:r>
    </w:p>
    <w:p>
      <w:pPr>
        <w:pStyle w:val="TextBody"/>
        <w:bidi w:val="0"/>
        <w:spacing w:before="120" w:after="0"/>
        <w:jc w:val="left"/>
        <w:rPr/>
      </w:pPr>
      <w:r>
        <w:rPr/>
        <w:t>“</w:t>
      </w:r>
      <w:r>
        <w:rPr>
          <w:rFonts w:ascii="Times New Roman" w:hAnsi="Times New Roman"/>
          <w:sz w:val="20"/>
        </w:rPr>
        <w:t>b) The Company shall not enter into or be party to a Fundamental Transaction unless the Successor Entity assumes this Warrant in accordance with the provisions of this Section 4(b), including agreements to deliver to the Holder in exchange for this Warrant a security of the Successor Entity evidenced by a written instrument substantially similar in form and substance to this Warrant, including, without limitation, an adjusted exercise price equal to the value for the shares of Common Stock reflected by the terms of such Fundamental Transaction, and exercisable for a corresponding number of shares of capital stock equivalent to the shares of Common Stock acquirable and receivable upon exercise of this Warrant (without regard to any limitations on the exercise of this Warrant) prior to such Fundamental Transaction, and satisfactory to the Holder. Upon the occurrence of any Fundamental Transaction, the Successor Entity shall succeed to, and be substituted for (so that from and after the date of such Fundamental Transaction, the provisions of this Warrant referring to the “Company” shall refer instead to the Successor Entity), and may exercise every right and power of the Company and shall assume all of the obligations of the Company under this Warrant with the same effect as if such Successor Entity had been named as the Company herein. Upon consummation of the Fundamental Transaction, the Successor Entity shall deliver to the Holder confirmation that there shall be issued upon exercise of this Warrant at any time after the consummation of the Fundamental Transaction, in lieu of the shares of the Common Stock (or other securities, cash, assets or other property) purchasable upon the exercise of this Warrant prior to such Fundamental Transaction, such shares of stock, securities, cash, assets or any other property whatsoever (including warrants or other purchase or subscription rights) which the Holder would have been entitled to receive upon the happening of such Fundamental Transaction had this Warrant been exercised immediately prior to such Fundamental Transaction, as adjusted in accordance with the provisions of this Warrant. In addition to and not in substitution for any other rights hereunder, prior to the consummation of any Fundamental Transaction pursuant to which holders of shares of Common Stock are entitled to receive securities or other assets with respect to or in exchange for shares of Common Stock (a “</w:t>
      </w:r>
      <w:r>
        <w:rPr>
          <w:rFonts w:ascii="Times New Roman" w:hAnsi="Times New Roman"/>
          <w:b/>
          <w:sz w:val="20"/>
        </w:rPr>
        <w:t>Corporate Event</w:t>
      </w:r>
      <w:r>
        <w:rPr>
          <w:rFonts w:ascii="Times New Roman" w:hAnsi="Times New Roman"/>
          <w:sz w:val="20"/>
        </w:rPr>
        <w:t xml:space="preserve">”), the Company shall make appropriate provision to insure that the Holder will thereafter have the right to receive upon an exercise of this Warrant at any time after the consummation of the Fundamental Transaction but prior to the Expiration Date, in lieu of the shares of the Common Stock (or other securities, cash, assets or other property) purchasable upon the exercise of the Warrant prior to such Fundamental Transaction, such shares of stock, securities, cash, assets or any other property whatsoever (including warrants or other purchase or subscription rights) which the Holder would have been entitled to receive upon the happening of such Fundamental Transaction had the Warrant been exercised immediately prior to such Fundamental Transaction. If holders of Common Stock are given any choice as to the securities, cash or property to be received in a Fundamental Transaction, then the Holder shall be given the same choice as to the consideration it receives upon any exercise of this Warrant following such Fundamental Transaction. The provisions of this Section 4 shall apply similarly and equally to successive Fundamental Transactions and Corporate Events and shall be applied without regard to any limitations on the exercise of this Warrant.” </w:t>
      </w:r>
    </w:p>
    <w:p>
      <w:pPr>
        <w:pStyle w:val="TextBody"/>
        <w:bidi w:val="0"/>
        <w:spacing w:before="12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Condition Precedent</w:t>
      </w:r>
      <w:r>
        <w:rPr>
          <w:rFonts w:ascii="Times New Roman" w:hAnsi="Times New Roman"/>
          <w:sz w:val="20"/>
        </w:rPr>
        <w:t>. The effectiveness of this Amendment shall be conditioned on the receipt of approval from the stockholders of the Company with respect to the issuance of the Warrants and the Warrant Shares (the “</w:t>
      </w:r>
      <w:r>
        <w:rPr>
          <w:rFonts w:ascii="Times New Roman" w:hAnsi="Times New Roman"/>
          <w:sz w:val="20"/>
          <w:u w:val="single"/>
        </w:rPr>
        <w:t>Approval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7.</w:t>
      </w:r>
      <w:r>
        <w:rPr>
          <w:rFonts w:ascii="Times New Roman" w:hAnsi="Times New Roman"/>
          <w:sz w:val="20"/>
          <w:u w:val="single"/>
        </w:rPr>
        <w:t xml:space="preserve"> No Further Amendment</w:t>
      </w:r>
      <w:r>
        <w:rPr>
          <w:rFonts w:ascii="Times New Roman" w:hAnsi="Times New Roman"/>
          <w:sz w:val="20"/>
        </w:rPr>
        <w:t xml:space="preserve">. Except as amended by this Amendment, the Original Warrants remain unaltered and shall remain in full force and effect. </w:t>
      </w:r>
    </w:p>
    <w:p>
      <w:pPr>
        <w:pStyle w:val="TextBody"/>
        <w:bidi w:val="0"/>
        <w:spacing w:before="12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Jurisdiction</w:t>
      </w:r>
      <w:r>
        <w:rPr>
          <w:rFonts w:ascii="Times New Roman" w:hAnsi="Times New Roman"/>
          <w:sz w:val="20"/>
        </w:rPr>
        <w:t xml:space="preserve">. All questions concerning the construction, validity, enforcement and interpretation of this Amendment shall be determined in accordance with Section 10 of the Original Warrants. </w:t>
      </w:r>
    </w:p>
    <w:p>
      <w:pPr>
        <w:pStyle w:val="TextBody"/>
        <w:bidi w:val="0"/>
        <w:spacing w:before="12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Counterparts</w:t>
      </w:r>
      <w:r>
        <w:rPr>
          <w:rFonts w:ascii="Times New Roman" w:hAnsi="Times New Roman"/>
          <w:sz w:val="20"/>
        </w:rPr>
        <w:t xml:space="preserve">. This Amendment may be executed in any number of counterparts, each of which will be deemed an original and all of which together will constitute one and the same instrument. Signatures delivered by electronic mail (including as a PDF file) or other transmission method shall be deemed to be original signatures, shall be valid and binding, and, upon delivery, shall constitute due execution of this Amendment.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follows</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each of the Company and the Holder has caused this Amendment to be executed and delivered by its officer thereunto duly authorized as of the date first above indicated.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695"/>
        <w:gridCol w:w="60"/>
        <w:gridCol w:w="3327"/>
      </w:tblGrid>
      <w:tr>
        <w:trPr/>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2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COMPANY</w:t>
            </w:r>
          </w:p>
        </w:tc>
      </w:tr>
      <w:tr>
        <w:trPr/>
        <w:tc>
          <w:tcPr>
            <w:tcW w:w="4082" w:type="dxa"/>
            <w:gridSpan w:val="3"/>
            <w:tcBorders/>
          </w:tcPr>
          <w:p>
            <w:pPr>
              <w:pStyle w:val="TableContents"/>
              <w:bidi w:val="0"/>
              <w:spacing w:before="0" w:after="283"/>
              <w:jc w:val="left"/>
              <w:rPr/>
            </w:pPr>
            <w:r>
              <w:rPr/>
              <w:t>VIVOSIM LABS, INC.</w:t>
            </w:r>
          </w:p>
        </w:tc>
      </w:tr>
      <w:tr>
        <w:trPr>
          <w:trHeight w:val="240" w:hRule="atLeast"/>
        </w:trPr>
        <w:tc>
          <w:tcPr>
            <w:tcW w:w="695" w:type="dxa"/>
            <w:tcBorders/>
            <w:vAlign w:val="center"/>
          </w:tcPr>
          <w:p>
            <w:pPr>
              <w:pStyle w:val="TableContents"/>
              <w:bidi w:val="0"/>
              <w:spacing w:before="0" w:after="283"/>
              <w:jc w:val="left"/>
              <w:rPr>
                <w:sz w:val="4"/>
                <w:szCs w:val="4"/>
              </w:rPr>
            </w:pPr>
            <w:r>
              <w:rPr>
                <w:sz w:val="4"/>
                <w:szCs w:val="4"/>
              </w:rPr>
            </w:r>
          </w:p>
        </w:tc>
        <w:tc>
          <w:tcPr>
            <w:tcW w:w="3387" w:type="dxa"/>
            <w:gridSpan w:val="2"/>
            <w:tcBorders/>
            <w:vAlign w:val="center"/>
          </w:tcPr>
          <w:p>
            <w:pPr>
              <w:pStyle w:val="TableContents"/>
              <w:bidi w:val="0"/>
              <w:spacing w:before="0" w:after="283"/>
              <w:jc w:val="left"/>
              <w:rPr>
                <w:sz w:val="4"/>
                <w:szCs w:val="4"/>
              </w:rPr>
            </w:pPr>
            <w:r>
              <w:rPr>
                <w:sz w:val="4"/>
                <w:szCs w:val="4"/>
              </w:rPr>
            </w:r>
          </w:p>
        </w:tc>
      </w:tr>
      <w:tr>
        <w:trPr/>
        <w:tc>
          <w:tcPr>
            <w:tcW w:w="69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2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Keith Murphy</w:t>
            </w:r>
          </w:p>
        </w:tc>
      </w:tr>
      <w:tr>
        <w:trPr/>
        <w:tc>
          <w:tcPr>
            <w:tcW w:w="695"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7" w:type="dxa"/>
            <w:tcBorders/>
          </w:tcPr>
          <w:p>
            <w:pPr>
              <w:pStyle w:val="TableContents"/>
              <w:bidi w:val="0"/>
              <w:spacing w:before="0" w:after="283"/>
              <w:jc w:val="left"/>
              <w:rPr/>
            </w:pPr>
            <w:r>
              <w:rPr/>
              <w:t>Keith Murphy</w:t>
            </w:r>
          </w:p>
        </w:tc>
      </w:tr>
      <w:tr>
        <w:trPr/>
        <w:tc>
          <w:tcPr>
            <w:tcW w:w="695"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7" w:type="dxa"/>
            <w:tcBorders/>
          </w:tcPr>
          <w:p>
            <w:pPr>
              <w:pStyle w:val="TableContents"/>
              <w:bidi w:val="0"/>
              <w:spacing w:before="0" w:after="283"/>
              <w:jc w:val="left"/>
              <w:rPr/>
            </w:pPr>
            <w:r>
              <w:rPr/>
              <w:t>Executive Chairman</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HOLDER</w:t>
            </w:r>
          </w:p>
        </w:tc>
      </w:tr>
      <w:tr>
        <w:trPr/>
        <w:tc>
          <w:tcPr>
            <w:tcW w:w="4082" w:type="dxa"/>
            <w:gridSpan w:val="3"/>
            <w:tcBorders/>
          </w:tcPr>
          <w:p>
            <w:pPr>
              <w:pStyle w:val="TableContents"/>
              <w:bidi w:val="0"/>
              <w:spacing w:before="0" w:after="283"/>
              <w:jc w:val="left"/>
              <w:rPr/>
            </w:pPr>
            <w:r>
              <w:rPr/>
              <w:t>ARMISTICE CAPITAL MASTER FUND LTD.</w:t>
            </w:r>
          </w:p>
        </w:tc>
      </w:tr>
      <w:tr>
        <w:trPr>
          <w:trHeight w:val="240" w:hRule="atLeast"/>
        </w:trPr>
        <w:tc>
          <w:tcPr>
            <w:tcW w:w="695" w:type="dxa"/>
            <w:tcBorders/>
            <w:vAlign w:val="center"/>
          </w:tcPr>
          <w:p>
            <w:pPr>
              <w:pStyle w:val="TableContents"/>
              <w:bidi w:val="0"/>
              <w:spacing w:before="0" w:after="283"/>
              <w:jc w:val="left"/>
              <w:rPr>
                <w:sz w:val="4"/>
                <w:szCs w:val="4"/>
              </w:rPr>
            </w:pPr>
            <w:r>
              <w:rPr>
                <w:sz w:val="4"/>
                <w:szCs w:val="4"/>
              </w:rPr>
            </w:r>
          </w:p>
        </w:tc>
        <w:tc>
          <w:tcPr>
            <w:tcW w:w="3387" w:type="dxa"/>
            <w:gridSpan w:val="2"/>
            <w:tcBorders/>
            <w:vAlign w:val="center"/>
          </w:tcPr>
          <w:p>
            <w:pPr>
              <w:pStyle w:val="TableContents"/>
              <w:bidi w:val="0"/>
              <w:spacing w:before="0" w:after="283"/>
              <w:jc w:val="left"/>
              <w:rPr>
                <w:sz w:val="4"/>
                <w:szCs w:val="4"/>
              </w:rPr>
            </w:pPr>
            <w:r>
              <w:rPr>
                <w:sz w:val="4"/>
                <w:szCs w:val="4"/>
              </w:rPr>
            </w:r>
          </w:p>
        </w:tc>
      </w:tr>
      <w:tr>
        <w:trPr/>
        <w:tc>
          <w:tcPr>
            <w:tcW w:w="69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27" w:type="dxa"/>
            <w:tcBorders/>
          </w:tcPr>
          <w:p>
            <w:pPr>
              <w:pStyle w:val="TableContents"/>
              <w:bidi w:val="0"/>
              <w:spacing w:before="0" w:after="283"/>
              <w:jc w:val="left"/>
              <w:rPr/>
            </w:pPr>
            <w:r>
              <w:rPr/>
              <w:t>ARMISTICE CAPITAL, LLC</w:t>
            </w:r>
          </w:p>
        </w:tc>
      </w:tr>
      <w:tr>
        <w:trPr/>
        <w:tc>
          <w:tcPr>
            <w:tcW w:w="6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327" w:type="dxa"/>
            <w:tcBorders/>
          </w:tcPr>
          <w:p>
            <w:pPr>
              <w:pStyle w:val="TableContents"/>
              <w:bidi w:val="0"/>
              <w:spacing w:before="0" w:after="283"/>
              <w:jc w:val="left"/>
              <w:rPr>
                <w:i/>
              </w:rPr>
            </w:pPr>
            <w:r>
              <w:rPr>
                <w:i/>
              </w:rPr>
              <w:t>the Investment Manager</w:t>
            </w:r>
          </w:p>
        </w:tc>
      </w:tr>
      <w:tr>
        <w:trPr>
          <w:trHeight w:val="240" w:hRule="atLeast"/>
        </w:trPr>
        <w:tc>
          <w:tcPr>
            <w:tcW w:w="695" w:type="dxa"/>
            <w:tcBorders/>
            <w:vAlign w:val="center"/>
          </w:tcPr>
          <w:p>
            <w:pPr>
              <w:pStyle w:val="TableContents"/>
              <w:bidi w:val="0"/>
              <w:spacing w:before="0" w:after="283"/>
              <w:jc w:val="left"/>
              <w:rPr>
                <w:sz w:val="4"/>
                <w:szCs w:val="4"/>
              </w:rPr>
            </w:pPr>
            <w:r>
              <w:rPr>
                <w:sz w:val="4"/>
                <w:szCs w:val="4"/>
              </w:rPr>
            </w:r>
          </w:p>
        </w:tc>
        <w:tc>
          <w:tcPr>
            <w:tcW w:w="3387" w:type="dxa"/>
            <w:gridSpan w:val="2"/>
            <w:tcBorders/>
            <w:vAlign w:val="center"/>
          </w:tcPr>
          <w:p>
            <w:pPr>
              <w:pStyle w:val="TableContents"/>
              <w:bidi w:val="0"/>
              <w:spacing w:before="0" w:after="283"/>
              <w:jc w:val="left"/>
              <w:rPr>
                <w:sz w:val="4"/>
                <w:szCs w:val="4"/>
              </w:rPr>
            </w:pPr>
            <w:r>
              <w:rPr>
                <w:sz w:val="4"/>
                <w:szCs w:val="4"/>
              </w:rPr>
            </w:r>
          </w:p>
        </w:tc>
      </w:tr>
      <w:tr>
        <w:trPr/>
        <w:tc>
          <w:tcPr>
            <w:tcW w:w="69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2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Steven Boyd</w:t>
            </w:r>
          </w:p>
        </w:tc>
      </w:tr>
      <w:tr>
        <w:trPr/>
        <w:tc>
          <w:tcPr>
            <w:tcW w:w="695"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7" w:type="dxa"/>
            <w:tcBorders/>
          </w:tcPr>
          <w:p>
            <w:pPr>
              <w:pStyle w:val="TableContents"/>
              <w:bidi w:val="0"/>
              <w:spacing w:before="0" w:after="283"/>
              <w:jc w:val="left"/>
              <w:rPr/>
            </w:pPr>
            <w:r>
              <w:rPr/>
              <w:t>Steven Boyd</w:t>
            </w:r>
          </w:p>
        </w:tc>
      </w:tr>
      <w:tr>
        <w:trPr/>
        <w:tc>
          <w:tcPr>
            <w:tcW w:w="695"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7" w:type="dxa"/>
            <w:tcBorders/>
          </w:tcPr>
          <w:p>
            <w:pPr>
              <w:pStyle w:val="TableContents"/>
              <w:bidi w:val="0"/>
              <w:spacing w:before="0" w:after="283"/>
              <w:jc w:val="left"/>
              <w:rPr/>
            </w:pPr>
            <w:r>
              <w:rPr/>
              <w:t>CIO of Armistice Capital, LLC, the Investment Manager</w:t>
            </w:r>
          </w:p>
        </w:tc>
      </w:tr>
    </w:tbl>
    <w:p>
      <w:pPr>
        <w:pStyle w:val="TextBody"/>
        <w:bidi w:val="0"/>
        <w:spacing w:before="0" w:after="0"/>
        <w:jc w:val="right"/>
        <w:rPr>
          <w:rFonts w:ascii="Times New Roman" w:hAnsi="Times New Roman"/>
          <w:b/>
          <w:sz w:val="20"/>
        </w:rPr>
      </w:pPr>
      <w:bookmarkStart w:id="8" w:name="d134319dex101.htm"/>
      <w:bookmarkStart w:id="9" w:name="ksd134319dex101"/>
      <w:bookmarkEnd w:id="8"/>
      <w:bookmarkEnd w:id="9"/>
      <w:r>
        <w:rPr>
          <w:rFonts w:ascii="Times New Roman" w:hAnsi="Times New Roman"/>
          <w:b/>
          <w:sz w:val="20"/>
        </w:rPr>
        <w:t xml:space="preserve">Exhibit 10.1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SECURITIES PURCHASE AGREEMENT </w:t>
      </w:r>
    </w:p>
    <w:p>
      <w:pPr>
        <w:pStyle w:val="TextBody"/>
        <w:bidi w:val="0"/>
        <w:spacing w:before="240" w:after="0"/>
        <w:jc w:val="left"/>
        <w:rPr>
          <w:rFonts w:ascii="Times New Roman" w:hAnsi="Times New Roman"/>
          <w:sz w:val="20"/>
        </w:rPr>
      </w:pPr>
      <w:r>
        <w:rPr>
          <w:rFonts w:ascii="Times New Roman" w:hAnsi="Times New Roman"/>
          <w:sz w:val="20"/>
        </w:rPr>
        <w:t>This Securities Purchase Agreement (this “</w:t>
      </w:r>
      <w:r>
        <w:rPr>
          <w:rFonts w:ascii="Times New Roman" w:hAnsi="Times New Roman"/>
          <w:sz w:val="20"/>
          <w:u w:val="single"/>
        </w:rPr>
        <w:t>Agreement</w:t>
      </w:r>
      <w:r>
        <w:rPr>
          <w:rFonts w:ascii="Times New Roman" w:hAnsi="Times New Roman"/>
          <w:sz w:val="20"/>
        </w:rPr>
        <w:t>”) is dated as of July 16, 2026, between VivoSim Labs, Inc., a Delaware corporation (the “</w:t>
      </w:r>
      <w:r>
        <w:rPr>
          <w:rFonts w:ascii="Times New Roman" w:hAnsi="Times New Roman"/>
          <w:sz w:val="20"/>
          <w:u w:val="single"/>
        </w:rPr>
        <w:t>Company</w:t>
      </w:r>
      <w:r>
        <w:rPr>
          <w:rFonts w:ascii="Times New Roman" w:hAnsi="Times New Roman"/>
          <w:sz w:val="20"/>
        </w:rPr>
        <w:t>”), and each of the purchasers identified on the signature pages hereto (including its successors and assigns, the “</w:t>
      </w:r>
      <w:r>
        <w:rPr>
          <w:rFonts w:ascii="Times New Roman" w:hAnsi="Times New Roman"/>
          <w:sz w:val="20"/>
          <w:u w:val="single"/>
        </w:rPr>
        <w:t>Purchaser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subject to the terms and conditions set forth in this Agreement and pursuant to an exemption from the registration requirements of Section 5 of the Securities Act contained in Section 4(a)(2) thereof and/or Regulation D thereunder, the Company desires to issue and sell to each Purchaser, and each Purchaser, severally and not jointly, desires to purchase from the Company, securities of the Company as more fully described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mutual covenants contained in this Agreement, and for other good and valuable consideration the receipt and adequacy of which are hereby acknowledged, the Company and each Purchaser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0" w:after="0"/>
        <w:jc w:val="center"/>
        <w:rPr>
          <w:rFonts w:ascii="Times New Roman" w:hAnsi="Times New Roman"/>
          <w:sz w:val="20"/>
        </w:rPr>
      </w:pPr>
      <w:r>
        <w:rPr>
          <w:rFonts w:ascii="Times New Roman" w:hAnsi="Times New Roman"/>
          <w:sz w:val="20"/>
        </w:rPr>
        <w:t xml:space="preserve">DEFINITIONS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Definitions</w:t>
      </w:r>
      <w:r>
        <w:rPr>
          <w:rFonts w:ascii="Times New Roman" w:hAnsi="Times New Roman"/>
          <w:sz w:val="20"/>
        </w:rPr>
        <w:t xml:space="preserve">. In addition to the terms defined elsewhere in this Agreement, for all purposes of this Agreement, the following terms have the meanings set forth in this </w:t>
      </w:r>
      <w:r>
        <w:rPr>
          <w:rFonts w:ascii="Times New Roman" w:hAnsi="Times New Roman"/>
          <w:sz w:val="20"/>
          <w:u w:val="single"/>
        </w:rPr>
        <w:t>Section 1.1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Action</w:t>
      </w:r>
      <w:r>
        <w:rPr>
          <w:rFonts w:ascii="Times New Roman" w:hAnsi="Times New Roman"/>
          <w:sz w:val="20"/>
        </w:rPr>
        <w:t xml:space="preserve">” shall have the meaning ascribed to such term in </w:t>
      </w:r>
      <w:r>
        <w:rPr>
          <w:rFonts w:ascii="Times New Roman" w:hAnsi="Times New Roman"/>
          <w:sz w:val="20"/>
          <w:u w:val="single"/>
        </w:rPr>
        <w:t>Section 3.1(j)</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Affiliate</w:t>
      </w:r>
      <w:r>
        <w:rPr>
          <w:rFonts w:ascii="Times New Roman" w:hAnsi="Times New Roman"/>
          <w:sz w:val="20"/>
        </w:rPr>
        <w:t xml:space="preserve">” means any Person that, directly or indirectly through one or more intermediaries, controls or is controlled by or is under common control with a Person as such terms are used in and construed under Rule 405 under the Securities Act. </w:t>
      </w:r>
    </w:p>
    <w:p>
      <w:pPr>
        <w:pStyle w:val="TextBody"/>
        <w:bidi w:val="0"/>
        <w:spacing w:before="240" w:after="0"/>
        <w:jc w:val="left"/>
        <w:rPr/>
      </w:pPr>
      <w:r>
        <w:rPr/>
        <w:t>“</w:t>
      </w:r>
      <w:r>
        <w:rPr>
          <w:rFonts w:ascii="Times New Roman" w:hAnsi="Times New Roman"/>
          <w:sz w:val="20"/>
          <w:u w:val="single"/>
        </w:rPr>
        <w:t>Applicable Laws</w:t>
      </w:r>
      <w:r>
        <w:rPr>
          <w:rFonts w:ascii="Times New Roman" w:hAnsi="Times New Roman"/>
          <w:sz w:val="20"/>
        </w:rPr>
        <w:t xml:space="preserve">” shall have the meaning ascribed to such term in </w:t>
      </w:r>
      <w:r>
        <w:rPr>
          <w:rFonts w:ascii="Times New Roman" w:hAnsi="Times New Roman"/>
          <w:sz w:val="20"/>
          <w:u w:val="single"/>
        </w:rPr>
        <w:t>Section 3.1(jj)</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Authorizations</w:t>
      </w:r>
      <w:r>
        <w:rPr>
          <w:rFonts w:ascii="Times New Roman" w:hAnsi="Times New Roman"/>
          <w:sz w:val="20"/>
        </w:rPr>
        <w:t xml:space="preserve">” shall have the meaning ascribed to such term in </w:t>
      </w:r>
      <w:r>
        <w:rPr>
          <w:rFonts w:ascii="Times New Roman" w:hAnsi="Times New Roman"/>
          <w:sz w:val="20"/>
          <w:u w:val="single"/>
        </w:rPr>
        <w:t>Section 3.1(jj)</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Beneficial Ownership Limitation</w:t>
      </w:r>
      <w:r>
        <w:rPr>
          <w:rFonts w:ascii="Times New Roman" w:hAnsi="Times New Roman"/>
          <w:sz w:val="20"/>
        </w:rPr>
        <w:t xml:space="preserve">” shall have the meaning ascribed to such term in </w:t>
      </w:r>
      <w:r>
        <w:rPr>
          <w:rFonts w:ascii="Times New Roman" w:hAnsi="Times New Roman"/>
          <w:sz w:val="20"/>
          <w:u w:val="single"/>
        </w:rPr>
        <w:t>Section 2.1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BHCA</w:t>
      </w:r>
      <w:r>
        <w:rPr>
          <w:rFonts w:ascii="Times New Roman" w:hAnsi="Times New Roman"/>
          <w:sz w:val="20"/>
        </w:rPr>
        <w:t xml:space="preserve">” shall have the meaning ascribed to such term in </w:t>
      </w:r>
      <w:r>
        <w:rPr>
          <w:rFonts w:ascii="Times New Roman" w:hAnsi="Times New Roman"/>
          <w:sz w:val="20"/>
          <w:u w:val="single"/>
        </w:rPr>
        <w:t>Section 3.1(ii)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Board of Directors</w:t>
      </w:r>
      <w:r>
        <w:rPr>
          <w:rFonts w:ascii="Times New Roman" w:hAnsi="Times New Roman"/>
          <w:sz w:val="20"/>
        </w:rPr>
        <w:t xml:space="preserve">” means the board of directors of the Company, or an authorized committee thereof. </w:t>
      </w:r>
    </w:p>
    <w:p>
      <w:pPr>
        <w:pStyle w:val="TextBody"/>
        <w:bidi w:val="0"/>
        <w:spacing w:before="240" w:after="0"/>
        <w:jc w:val="left"/>
        <w:rPr/>
      </w:pPr>
      <w:r>
        <w:rPr/>
        <w:t>“</w:t>
      </w:r>
      <w:r>
        <w:rPr>
          <w:rFonts w:ascii="Times New Roman" w:hAnsi="Times New Roman"/>
          <w:sz w:val="20"/>
          <w:u w:val="single"/>
        </w:rPr>
        <w:t>Business Day</w:t>
      </w:r>
      <w:r>
        <w:rPr>
          <w:rFonts w:ascii="Times New Roman" w:hAnsi="Times New Roman"/>
          <w:sz w:val="20"/>
        </w:rPr>
        <w:t xml:space="preserve">” means any day except any Saturday, any Sunday, any day which is a federal legal holiday in the United States or any day on which banking institutions in the State of New York are authorized or required by law or other governmental action to close;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 </w:t>
      </w:r>
    </w:p>
    <w:p>
      <w:pPr>
        <w:pStyle w:val="TextBody"/>
        <w:bidi w:val="0"/>
        <w:spacing w:before="120" w:after="0"/>
        <w:jc w:val="left"/>
        <w:rPr/>
      </w:pPr>
      <w:r>
        <w:rPr/>
        <w:t>“</w:t>
      </w:r>
      <w:r>
        <w:rPr>
          <w:rFonts w:ascii="Times New Roman" w:hAnsi="Times New Roman"/>
          <w:sz w:val="20"/>
          <w:u w:val="single"/>
        </w:rPr>
        <w:t>Closing</w:t>
      </w:r>
      <w:r>
        <w:rPr>
          <w:rFonts w:ascii="Times New Roman" w:hAnsi="Times New Roman"/>
          <w:sz w:val="20"/>
        </w:rPr>
        <w:t xml:space="preserve">” means the closing of the purchase and sale of the Securities pursuant to </w:t>
      </w:r>
      <w:r>
        <w:rPr>
          <w:rFonts w:ascii="Times New Roman" w:hAnsi="Times New Roman"/>
          <w:sz w:val="20"/>
          <w:u w:val="single"/>
        </w:rPr>
        <w:t>Section 2.1</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sz w:val="20"/>
          <w:u w:val="single"/>
        </w:rPr>
        <w:t>Closing Date</w:t>
      </w:r>
      <w:r>
        <w:rPr>
          <w:rFonts w:ascii="Times New Roman" w:hAnsi="Times New Roman"/>
          <w:sz w:val="20"/>
        </w:rPr>
        <w:t xml:space="preserve">” means the Trading Day on which all of the Transaction Documents have been executed and delivered by the applicable parties thereto, and all conditions precedent to (i) the Purchasers’ obligations to pay the Subscription Amount and (ii) the Company’s obligations to deliver the Securities, in each case, have been satisfied or waived, but in no event later than the first (1st) Trading Day following the date hereof. </w:t>
      </w:r>
    </w:p>
    <w:p>
      <w:pPr>
        <w:pStyle w:val="TextBody"/>
        <w:bidi w:val="0"/>
        <w:spacing w:before="120" w:after="0"/>
        <w:jc w:val="left"/>
        <w:rPr/>
      </w:pPr>
      <w:r>
        <w:rPr/>
        <w:t>“</w:t>
      </w:r>
      <w:r>
        <w:rPr>
          <w:rFonts w:ascii="Times New Roman" w:hAnsi="Times New Roman"/>
          <w:sz w:val="20"/>
          <w:u w:val="single"/>
        </w:rPr>
        <w:t>Commission</w:t>
      </w:r>
      <w:r>
        <w:rPr>
          <w:rFonts w:ascii="Times New Roman" w:hAnsi="Times New Roman"/>
          <w:sz w:val="20"/>
        </w:rPr>
        <w:t xml:space="preserve">” means the United States Securities and Exchange Commission.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Common Stock</w:t>
      </w:r>
      <w:r>
        <w:rPr>
          <w:rFonts w:ascii="Times New Roman" w:hAnsi="Times New Roman"/>
          <w:sz w:val="20"/>
        </w:rPr>
        <w:t xml:space="preserve">” means the common stock of the Company, par value $0.001 per share, and any other class of securities into which such securities may hereafter be reclassified or changed. </w:t>
      </w:r>
    </w:p>
    <w:p>
      <w:pPr>
        <w:pStyle w:val="TextBody"/>
        <w:bidi w:val="0"/>
        <w:spacing w:before="240" w:after="0"/>
        <w:jc w:val="left"/>
        <w:rPr/>
      </w:pPr>
      <w:r>
        <w:rPr/>
        <w:t>“</w:t>
      </w:r>
      <w:r>
        <w:rPr>
          <w:rFonts w:ascii="Times New Roman" w:hAnsi="Times New Roman"/>
          <w:sz w:val="20"/>
          <w:u w:val="single"/>
        </w:rPr>
        <w:t>Common Stock Equivalents</w:t>
      </w:r>
      <w:r>
        <w:rPr>
          <w:rFonts w:ascii="Times New Roman" w:hAnsi="Times New Roman"/>
          <w:sz w:val="20"/>
        </w:rPr>
        <w:t xml:space="preserve">” means any securities of the Company or its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 </w:t>
      </w:r>
    </w:p>
    <w:p>
      <w:pPr>
        <w:pStyle w:val="TextBody"/>
        <w:bidi w:val="0"/>
        <w:spacing w:before="240" w:after="0"/>
        <w:jc w:val="left"/>
        <w:rPr/>
      </w:pPr>
      <w:r>
        <w:rPr/>
        <w:t>“</w:t>
      </w:r>
      <w:r>
        <w:rPr>
          <w:rFonts w:ascii="Times New Roman" w:hAnsi="Times New Roman"/>
          <w:sz w:val="20"/>
          <w:u w:val="single"/>
        </w:rPr>
        <w:t>Common Warrants</w:t>
      </w:r>
      <w:r>
        <w:rPr>
          <w:rFonts w:ascii="Times New Roman" w:hAnsi="Times New Roman"/>
          <w:sz w:val="20"/>
        </w:rPr>
        <w:t xml:space="preserve">” means, collectively, the Common Stock purchase warrants delivered to the Purchasers at the Closing in accordance with </w:t>
      </w:r>
      <w:r>
        <w:rPr>
          <w:rFonts w:ascii="Times New Roman" w:hAnsi="Times New Roman"/>
          <w:sz w:val="20"/>
          <w:u w:val="single"/>
        </w:rPr>
        <w:t>Section 2.2(a)</w:t>
      </w:r>
      <w:r>
        <w:rPr>
          <w:rFonts w:ascii="Times New Roman" w:hAnsi="Times New Roman"/>
          <w:sz w:val="20"/>
        </w:rPr>
        <w:t xml:space="preserve"> hereof, which Common Warrants shall be exercisable immediately and have a term of exercise equal to five years from the Closing Date, substantially in the form of </w:t>
      </w:r>
      <w:r>
        <w:rPr>
          <w:rFonts w:ascii="Times New Roman" w:hAnsi="Times New Roman"/>
          <w:sz w:val="20"/>
          <w:u w:val="single"/>
        </w:rPr>
        <w:t>Exhibit A</w:t>
      </w:r>
      <w:r>
        <w:rPr>
          <w:rFonts w:ascii="Times New Roman" w:hAnsi="Times New Roman"/>
          <w:sz w:val="20"/>
        </w:rPr>
        <w:t xml:space="preserve"> attached hereto. </w:t>
      </w:r>
    </w:p>
    <w:p>
      <w:pPr>
        <w:pStyle w:val="TextBody"/>
        <w:bidi w:val="0"/>
        <w:spacing w:before="240" w:after="0"/>
        <w:jc w:val="left"/>
        <w:rPr/>
      </w:pPr>
      <w:r>
        <w:rPr/>
        <w:t>“</w:t>
      </w:r>
      <w:r>
        <w:rPr>
          <w:rFonts w:ascii="Times New Roman" w:hAnsi="Times New Roman"/>
          <w:sz w:val="20"/>
          <w:u w:val="single"/>
        </w:rPr>
        <w:t>Common Warrant Shares</w:t>
      </w:r>
      <w:r>
        <w:rPr>
          <w:rFonts w:ascii="Times New Roman" w:hAnsi="Times New Roman"/>
          <w:sz w:val="20"/>
        </w:rPr>
        <w:t xml:space="preserve">” means the shares of Common Stock issuable upon exercise of the Common Warrants. </w:t>
      </w:r>
    </w:p>
    <w:p>
      <w:pPr>
        <w:pStyle w:val="TextBody"/>
        <w:bidi w:val="0"/>
        <w:spacing w:before="240" w:after="0"/>
        <w:jc w:val="left"/>
        <w:rPr/>
      </w:pPr>
      <w:r>
        <w:rPr/>
        <w:t>“</w:t>
      </w:r>
      <w:r>
        <w:rPr>
          <w:rFonts w:ascii="Times New Roman" w:hAnsi="Times New Roman"/>
          <w:sz w:val="20"/>
          <w:u w:val="single"/>
        </w:rPr>
        <w:t>Company Counsel</w:t>
      </w:r>
      <w:r>
        <w:rPr>
          <w:rFonts w:ascii="Times New Roman" w:hAnsi="Times New Roman"/>
          <w:sz w:val="20"/>
        </w:rPr>
        <w:t xml:space="preserve">” means Paul Hastings LLP. </w:t>
      </w:r>
    </w:p>
    <w:p>
      <w:pPr>
        <w:pStyle w:val="TextBody"/>
        <w:bidi w:val="0"/>
        <w:spacing w:before="240" w:after="0"/>
        <w:jc w:val="left"/>
        <w:rPr/>
      </w:pPr>
      <w:r>
        <w:rPr/>
        <w:t>“</w:t>
      </w:r>
      <w:r>
        <w:rPr>
          <w:rFonts w:ascii="Times New Roman" w:hAnsi="Times New Roman"/>
          <w:sz w:val="20"/>
          <w:u w:val="single"/>
        </w:rPr>
        <w:t>Disclosure Schedules</w:t>
      </w:r>
      <w:r>
        <w:rPr>
          <w:rFonts w:ascii="Times New Roman" w:hAnsi="Times New Roman"/>
          <w:sz w:val="20"/>
        </w:rPr>
        <w:t xml:space="preserve">” means the Disclosure Schedules of the Company delivered concurrently herewith. </w:t>
      </w:r>
    </w:p>
    <w:p>
      <w:pPr>
        <w:pStyle w:val="TextBody"/>
        <w:bidi w:val="0"/>
        <w:spacing w:before="240" w:after="0"/>
        <w:jc w:val="left"/>
        <w:rPr/>
      </w:pPr>
      <w:r>
        <w:rPr/>
        <w:t>“</w:t>
      </w:r>
      <w:r>
        <w:rPr>
          <w:rFonts w:ascii="Times New Roman" w:hAnsi="Times New Roman"/>
          <w:sz w:val="20"/>
          <w:u w:val="single"/>
        </w:rPr>
        <w:t>Disclosure Time</w:t>
      </w:r>
      <w:r>
        <w:rPr>
          <w:rFonts w:ascii="Times New Roman" w:hAnsi="Times New Roman"/>
          <w:sz w:val="20"/>
        </w:rPr>
        <w:t xml:space="preserve">” means, (i) if this Agreement is signed on a day that is not a Trading Day or after 9:00 a.m. (New York City time) and before midnight (New York City time) on any Trading Day, 9:01 a.m. (New York City time) on the Trading Day immediately following the date hereof, unless otherwise instructed as to an earlier time by the Placement Agent, and (ii) if this Agreement is signed between midnight (New York City time) and 9:00 a.m. (New York City time) on any Trading Day, no later than 9:01 a.m. (New York City time) on the date hereof, unless otherwise instructed as to an earlier time by the Placement Agent. </w:t>
      </w:r>
    </w:p>
    <w:p>
      <w:pPr>
        <w:pStyle w:val="TextBody"/>
        <w:bidi w:val="0"/>
        <w:spacing w:before="240" w:after="0"/>
        <w:jc w:val="left"/>
        <w:rPr/>
      </w:pPr>
      <w:r>
        <w:rPr/>
        <w:t>“</w:t>
      </w:r>
      <w:r>
        <w:rPr>
          <w:rFonts w:ascii="Times New Roman" w:hAnsi="Times New Roman"/>
          <w:sz w:val="20"/>
          <w:u w:val="single"/>
        </w:rPr>
        <w:t>Disqualification Event</w:t>
      </w:r>
      <w:r>
        <w:rPr>
          <w:rFonts w:ascii="Times New Roman" w:hAnsi="Times New Roman"/>
          <w:sz w:val="20"/>
        </w:rPr>
        <w:t xml:space="preserve">” shall have the meaning ascribed to such term in </w:t>
      </w:r>
      <w:r>
        <w:rPr>
          <w:rFonts w:ascii="Times New Roman" w:hAnsi="Times New Roman"/>
          <w:sz w:val="20"/>
          <w:u w:val="single"/>
        </w:rPr>
        <w:t>Section 3.1(kk)</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Effectiveness Date</w:t>
      </w:r>
      <w:r>
        <w:rPr>
          <w:rFonts w:ascii="Times New Roman" w:hAnsi="Times New Roman"/>
          <w:sz w:val="20"/>
        </w:rPr>
        <w:t xml:space="preserve">” shall have the meaning ascribed to such term in </w:t>
      </w:r>
      <w:r>
        <w:rPr>
          <w:rFonts w:ascii="Times New Roman" w:hAnsi="Times New Roman"/>
          <w:sz w:val="20"/>
          <w:u w:val="single"/>
        </w:rPr>
        <w:t xml:space="preserve">Section 4.1(b). </w:t>
      </w:r>
    </w:p>
    <w:p>
      <w:pPr>
        <w:pStyle w:val="TextBody"/>
        <w:bidi w:val="0"/>
        <w:spacing w:before="240" w:after="0"/>
        <w:jc w:val="left"/>
        <w:rPr/>
      </w:pPr>
      <w:r>
        <w:rPr/>
        <w:t>“</w:t>
      </w:r>
      <w:r>
        <w:rPr>
          <w:rFonts w:ascii="Times New Roman" w:hAnsi="Times New Roman"/>
          <w:sz w:val="20"/>
          <w:u w:val="single"/>
        </w:rPr>
        <w:t>Exchange Act</w:t>
      </w:r>
      <w:r>
        <w:rPr>
          <w:rFonts w:ascii="Times New Roman" w:hAnsi="Times New Roman"/>
          <w:sz w:val="20"/>
        </w:rPr>
        <w:t xml:space="preserve">” means the Securities Exchange Act of 1934, as amended, and the rules and regulations promulgated thereunder. </w:t>
      </w:r>
    </w:p>
    <w:p>
      <w:pPr>
        <w:pStyle w:val="TextBody"/>
        <w:bidi w:val="0"/>
        <w:spacing w:before="240" w:after="0"/>
        <w:jc w:val="left"/>
        <w:rPr/>
      </w:pPr>
      <w:r>
        <w:rPr/>
        <w:t>“</w:t>
      </w:r>
      <w:r>
        <w:rPr>
          <w:rFonts w:ascii="Times New Roman" w:hAnsi="Times New Roman"/>
          <w:sz w:val="20"/>
          <w:u w:val="single"/>
        </w:rPr>
        <w:t>Exempt Issuance</w:t>
      </w:r>
      <w:r>
        <w:rPr>
          <w:rFonts w:ascii="Times New Roman" w:hAnsi="Times New Roman"/>
          <w:sz w:val="20"/>
        </w:rPr>
        <w:t xml:space="preserve">” means (i) the issuance of securities to directors, officers, employees, contractors and consultants of the Company pursuant to employee benefit plans, equity incentive plans or other employee compensation plans existing on the date hereof or plan duly adopted for such purpose, by a majority of the disinterested directors or a majority of the members of a committee of non-employee directors established for such purpose for services rendered to the Company and as described in the SEC Reports or pursuant to Nasdaq Rule 5635(c)(4), (ii) the issuance of securities upon the exercise or exchange of or conversion of any Securities issued hereunder and/or the issuance of securities pursuant to the exercise, exchange or conversion of any options, warrants, restricted stock units, rights or convertible securities outstanding on the date hereof, provided that such options, warrants, restricted stock units, rights or convertible securities have not been amended since the date of this Agreement to increase the number of such securities or to decrease the exercise price, exchange price or conversion price of such securities (other than in connection with stock splits or combinations) or to extend the term of such securities, (iii) securities issued in connection with any joint venture, commercial or collaborative relationship, or the acquisition or license by the Company of the securities, businesses, property or other assets of another person, provided that such issuance is approved by the majority of the disinterested directors of the Company and provided such securities are issued as restricted securities, (iv) securities issued pursuant to acquisitions or strategic transactions approved by a majority of the disinterested directors of the Company, provided that such securities are issued as “restricted securities” (as defined in Rule 144) and carry no registration rights that require or permit the filing of any registration statement in connection therewith during the prohibition period in </w:t>
      </w:r>
      <w:r>
        <w:rPr>
          <w:rFonts w:ascii="Times New Roman" w:hAnsi="Times New Roman"/>
          <w:sz w:val="20"/>
          <w:u w:val="single"/>
        </w:rPr>
        <w:t>Section 4.12</w:t>
      </w:r>
      <w:r>
        <w:rPr>
          <w:rFonts w:ascii="Times New Roman" w:hAnsi="Times New Roman"/>
          <w:sz w:val="20"/>
        </w:rPr>
        <w:t xml:space="preserve">, and provided that any such issuance shall only be to a Person or a venture arm of such Person (or to the equityholders of a Person) which is, itself or through its subsidiaries, an operating company or an owner of an asset in a business synergistic with the business of the Company and shall provide to the Company additional benefits in addition to the investment of funds, (v) issuances of shares of Common Stock upon the exercise or exchange of rights issued pursuant to any shareholder rights agreement entered into between the Company and Transfer Agent, and (vi) the filing of any amendments or supplements to any existing resale registration statements contained in the SEC Reports.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Issuer Covered Persons</w:t>
      </w:r>
      <w:r>
        <w:rPr>
          <w:rFonts w:ascii="Times New Roman" w:hAnsi="Times New Roman"/>
          <w:sz w:val="20"/>
        </w:rPr>
        <w:t xml:space="preserve">” shall have the meaning ascribed to such term in </w:t>
      </w:r>
      <w:r>
        <w:rPr>
          <w:rFonts w:ascii="Times New Roman" w:hAnsi="Times New Roman"/>
          <w:sz w:val="20"/>
          <w:u w:val="single"/>
        </w:rPr>
        <w:t>Section 3.1(kk)</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Lock-Up Agreements</w:t>
      </w:r>
      <w:r>
        <w:rPr>
          <w:rFonts w:ascii="Times New Roman" w:hAnsi="Times New Roman"/>
          <w:sz w:val="20"/>
        </w:rPr>
        <w:t xml:space="preserve">” means the lock-up agreements in substantially the form of </w:t>
      </w:r>
      <w:r>
        <w:rPr>
          <w:rFonts w:ascii="Times New Roman" w:hAnsi="Times New Roman"/>
          <w:sz w:val="20"/>
          <w:u w:val="single"/>
        </w:rPr>
        <w:t>Exhibit 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Material Adverse Effect</w:t>
      </w:r>
      <w:r>
        <w:rPr>
          <w:rFonts w:ascii="Times New Roman" w:hAnsi="Times New Roman"/>
          <w:sz w:val="20"/>
        </w:rPr>
        <w:t xml:space="preserve">” shall have the meaning assigned to such term in </w:t>
      </w:r>
      <w:r>
        <w:rPr>
          <w:rFonts w:ascii="Times New Roman" w:hAnsi="Times New Roman"/>
          <w:sz w:val="20"/>
          <w:u w:val="single"/>
        </w:rPr>
        <w:t>Section 3.1(a)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Per Pre-Funded Warrant Purchase Price</w:t>
      </w:r>
      <w:r>
        <w:rPr>
          <w:rFonts w:ascii="Times New Roman" w:hAnsi="Times New Roman"/>
          <w:sz w:val="20"/>
        </w:rPr>
        <w:t xml:space="preserve">” means $0.849, subject to adjustment for reverse and forward share splits, share dividends, share combinations and other similar transactions of the shares of Common Stock that occur after the date of this Agreement. </w:t>
      </w:r>
    </w:p>
    <w:p>
      <w:pPr>
        <w:pStyle w:val="TextBody"/>
        <w:bidi w:val="0"/>
        <w:spacing w:before="240" w:after="0"/>
        <w:jc w:val="left"/>
        <w:rPr/>
      </w:pPr>
      <w:r>
        <w:rPr/>
        <w:t>“</w:t>
      </w:r>
      <w:r>
        <w:rPr>
          <w:rFonts w:ascii="Times New Roman" w:hAnsi="Times New Roman"/>
          <w:sz w:val="20"/>
          <w:u w:val="single"/>
        </w:rPr>
        <w:t>Per Share Purchase Price</w:t>
      </w:r>
      <w:r>
        <w:rPr>
          <w:rFonts w:ascii="Times New Roman" w:hAnsi="Times New Roman"/>
          <w:sz w:val="20"/>
        </w:rPr>
        <w:t xml:space="preserve">” equals $0.85, subject to adjustment for reverse and forward stock splits, stock dividends, stock combinations and other similar transactions of the Common Stock that occur after the date of this Agreement and prior to the Closing Date. </w:t>
      </w:r>
    </w:p>
    <w:p>
      <w:pPr>
        <w:pStyle w:val="TextBody"/>
        <w:bidi w:val="0"/>
        <w:spacing w:before="240" w:after="0"/>
        <w:jc w:val="left"/>
        <w:rPr/>
      </w:pPr>
      <w:r>
        <w:rPr/>
        <w:t>“</w:t>
      </w:r>
      <w:r>
        <w:rPr>
          <w:rFonts w:ascii="Times New Roman" w:hAnsi="Times New Roman"/>
          <w:sz w:val="20"/>
          <w:u w:val="single"/>
        </w:rPr>
        <w:t>Person</w:t>
      </w:r>
      <w:r>
        <w:rPr>
          <w:rFonts w:ascii="Times New Roman" w:hAnsi="Times New Roman"/>
          <w:sz w:val="20"/>
        </w:rPr>
        <w:t xml:space="preserve">” means an individual or corporation, partnership, trust, incorporated or unincorporated association, joint venture, limited liability company, joint stock company, government (or an agency or subdivision thereof) or other entity of any kind. </w:t>
      </w:r>
    </w:p>
    <w:p>
      <w:pPr>
        <w:pStyle w:val="TextBody"/>
        <w:bidi w:val="0"/>
        <w:spacing w:before="240" w:after="0"/>
        <w:jc w:val="left"/>
        <w:rPr/>
      </w:pPr>
      <w:r>
        <w:rPr/>
        <w:t>“</w:t>
      </w:r>
      <w:r>
        <w:rPr>
          <w:rFonts w:ascii="Times New Roman" w:hAnsi="Times New Roman"/>
          <w:sz w:val="20"/>
          <w:u w:val="single"/>
        </w:rPr>
        <w:t>Placement Agent</w:t>
      </w:r>
      <w:r>
        <w:rPr>
          <w:rFonts w:ascii="Times New Roman" w:hAnsi="Times New Roman"/>
          <w:sz w:val="20"/>
        </w:rPr>
        <w:t xml:space="preserve">” means A.G.P./Alliance Global Partners. </w:t>
      </w:r>
    </w:p>
    <w:p>
      <w:pPr>
        <w:pStyle w:val="TextBody"/>
        <w:bidi w:val="0"/>
        <w:spacing w:before="240" w:after="0"/>
        <w:jc w:val="left"/>
        <w:rPr/>
      </w:pPr>
      <w:r>
        <w:rPr/>
        <w:t>“</w:t>
      </w:r>
      <w:r>
        <w:rPr>
          <w:rFonts w:ascii="Times New Roman" w:hAnsi="Times New Roman"/>
          <w:sz w:val="20"/>
          <w:u w:val="single"/>
        </w:rPr>
        <w:t>Placement Agency Agreement</w:t>
      </w:r>
      <w:r>
        <w:rPr>
          <w:rFonts w:ascii="Times New Roman" w:hAnsi="Times New Roman"/>
          <w:sz w:val="20"/>
        </w:rPr>
        <w:t xml:space="preserve">” means that certain placement agency agreement dated as of the date hereof between the Company and the Placement Agent. </w:t>
      </w:r>
    </w:p>
    <w:p>
      <w:pPr>
        <w:pStyle w:val="TextBody"/>
        <w:bidi w:val="0"/>
        <w:spacing w:before="240" w:after="0"/>
        <w:jc w:val="left"/>
        <w:rPr/>
      </w:pPr>
      <w:r>
        <w:rPr/>
        <w:t>“</w:t>
      </w:r>
      <w:r>
        <w:rPr>
          <w:rFonts w:ascii="Times New Roman" w:hAnsi="Times New Roman"/>
          <w:sz w:val="20"/>
          <w:u w:val="single"/>
        </w:rPr>
        <w:t>Pre-Funded Warrants</w:t>
      </w:r>
      <w:r>
        <w:rPr>
          <w:rFonts w:ascii="Times New Roman" w:hAnsi="Times New Roman"/>
          <w:sz w:val="20"/>
        </w:rPr>
        <w:t xml:space="preserve">” means, collectively, the Pre-Funded Common Stock purchase warrants delivered to the Purchasers at the Closing in accordance with </w:t>
      </w:r>
      <w:r>
        <w:rPr>
          <w:rFonts w:ascii="Times New Roman" w:hAnsi="Times New Roman"/>
          <w:sz w:val="20"/>
          <w:u w:val="single"/>
        </w:rPr>
        <w:t>Section 2.2(a)</w:t>
      </w:r>
      <w:r>
        <w:rPr>
          <w:rFonts w:ascii="Times New Roman" w:hAnsi="Times New Roman"/>
          <w:sz w:val="20"/>
        </w:rPr>
        <w:t xml:space="preserve"> hereof, in the form of </w:t>
      </w:r>
      <w:r>
        <w:rPr>
          <w:rFonts w:ascii="Times New Roman" w:hAnsi="Times New Roman"/>
          <w:sz w:val="20"/>
          <w:u w:val="single"/>
        </w:rPr>
        <w:t>Exhibit B</w:t>
      </w:r>
      <w:r>
        <w:rPr>
          <w:rFonts w:ascii="Times New Roman" w:hAnsi="Times New Roman"/>
          <w:sz w:val="20"/>
        </w:rPr>
        <w:t xml:space="preserve"> attached hereto. </w:t>
      </w:r>
    </w:p>
    <w:p>
      <w:pPr>
        <w:pStyle w:val="TextBody"/>
        <w:bidi w:val="0"/>
        <w:spacing w:before="240" w:after="0"/>
        <w:jc w:val="left"/>
        <w:rPr/>
      </w:pPr>
      <w:r>
        <w:rPr/>
        <w:t>“</w:t>
      </w:r>
      <w:r>
        <w:rPr>
          <w:rFonts w:ascii="Times New Roman" w:hAnsi="Times New Roman"/>
          <w:sz w:val="20"/>
          <w:u w:val="single"/>
        </w:rPr>
        <w:t>Pre-Funded Warrant Shares</w:t>
      </w:r>
      <w:r>
        <w:rPr>
          <w:rFonts w:ascii="Times New Roman" w:hAnsi="Times New Roman"/>
          <w:sz w:val="20"/>
        </w:rPr>
        <w:t xml:space="preserve">” means the shares of Common Stock issuable upon exercise of the Pre-Funded Warrants. </w:t>
      </w:r>
    </w:p>
    <w:p>
      <w:pPr>
        <w:pStyle w:val="TextBody"/>
        <w:bidi w:val="0"/>
        <w:spacing w:before="240" w:after="0"/>
        <w:jc w:val="left"/>
        <w:rPr/>
      </w:pPr>
      <w:r>
        <w:rPr/>
        <w:t>“</w:t>
      </w:r>
      <w:r>
        <w:rPr>
          <w:rFonts w:ascii="Times New Roman" w:hAnsi="Times New Roman"/>
          <w:sz w:val="20"/>
          <w:u w:val="single"/>
        </w:rPr>
        <w:t>Proceeding</w:t>
      </w:r>
      <w:r>
        <w:rPr>
          <w:rFonts w:ascii="Times New Roman" w:hAnsi="Times New Roman"/>
          <w:sz w:val="20"/>
        </w:rPr>
        <w:t xml:space="preserve">” means an action, claim, suit, investigation or proceeding (including, without limitation, an informal investigation or partial proceeding, such as a deposition) pending or, to the Company’s knowledge, threatened in writing against or affecting the Company, any of its subsidiaries or any of their respective properties before or by any court, arbitrator, governmental or administrative agency or regulatory authority (federal, state, county, local or foreign). </w:t>
      </w:r>
    </w:p>
    <w:p>
      <w:pPr>
        <w:pStyle w:val="TextBody"/>
        <w:bidi w:val="0"/>
        <w:spacing w:before="240" w:after="0"/>
        <w:jc w:val="left"/>
        <w:rPr/>
      </w:pPr>
      <w:r>
        <w:rPr/>
        <w:t>“</w:t>
      </w:r>
      <w:r>
        <w:rPr>
          <w:rFonts w:ascii="Times New Roman" w:hAnsi="Times New Roman"/>
          <w:sz w:val="20"/>
          <w:u w:val="single"/>
        </w:rPr>
        <w:t>Purchaser Party</w:t>
      </w:r>
      <w:r>
        <w:rPr>
          <w:rFonts w:ascii="Times New Roman" w:hAnsi="Times New Roman"/>
          <w:sz w:val="20"/>
        </w:rPr>
        <w:t xml:space="preserve">” shall have the meaning ascribed to such term in </w:t>
      </w:r>
      <w:r>
        <w:rPr>
          <w:rFonts w:ascii="Times New Roman" w:hAnsi="Times New Roman"/>
          <w:sz w:val="20"/>
          <w:u w:val="single"/>
        </w:rPr>
        <w:t>Section 4.8</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Registration Statement</w:t>
      </w:r>
      <w:r>
        <w:rPr>
          <w:rFonts w:ascii="Times New Roman" w:hAnsi="Times New Roman"/>
          <w:sz w:val="20"/>
        </w:rPr>
        <w:t xml:space="preserve">” shall have the meaning ascribed to such term in </w:t>
      </w:r>
      <w:r>
        <w:rPr>
          <w:rFonts w:ascii="Times New Roman" w:hAnsi="Times New Roman"/>
          <w:sz w:val="20"/>
          <w:u w:val="single"/>
        </w:rPr>
        <w:t>Section 4.20(a)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Rule 144</w:t>
      </w:r>
      <w:r>
        <w:rPr>
          <w:rFonts w:ascii="Times New Roman" w:hAnsi="Times New Roman"/>
          <w:sz w:val="20"/>
        </w:rPr>
        <w:t xml:space="preserve">” means Rule 144 promulgated by the Commission pursuant to the Securities Act, as such Rule may be amended or interpreted from time to time, or any similar rule or regulation hereafter adopted by the Commission having substantially the same purpose and effect as such Rule. </w:t>
      </w:r>
    </w:p>
    <w:p>
      <w:pPr>
        <w:pStyle w:val="TextBody"/>
        <w:bidi w:val="0"/>
        <w:spacing w:before="240" w:after="0"/>
        <w:jc w:val="left"/>
        <w:rPr/>
      </w:pPr>
      <w:r>
        <w:rPr/>
        <w:t>“</w:t>
      </w:r>
      <w:r>
        <w:rPr>
          <w:rFonts w:ascii="Times New Roman" w:hAnsi="Times New Roman"/>
          <w:sz w:val="20"/>
          <w:u w:val="single"/>
        </w:rPr>
        <w:t>Rule 424</w:t>
      </w:r>
      <w:r>
        <w:rPr>
          <w:rFonts w:ascii="Times New Roman" w:hAnsi="Times New Roman"/>
          <w:sz w:val="20"/>
        </w:rPr>
        <w:t xml:space="preserve">” means Rule 424 promulgated by the Commission pursuant to the Securities Act, as such Rule may be amended or interpreted from time to time, or any similar rule or regulation hereafter adopted by the Commission having substantially the same purpose and effect as such Rule. </w:t>
      </w:r>
    </w:p>
    <w:p>
      <w:pPr>
        <w:pStyle w:val="TextBody"/>
        <w:bidi w:val="0"/>
        <w:spacing w:before="240" w:after="0"/>
        <w:jc w:val="left"/>
        <w:rPr/>
      </w:pPr>
      <w:r>
        <w:rPr/>
        <w:t>“</w:t>
      </w:r>
      <w:r>
        <w:rPr>
          <w:rFonts w:ascii="Times New Roman" w:hAnsi="Times New Roman"/>
          <w:sz w:val="20"/>
          <w:u w:val="single"/>
        </w:rPr>
        <w:t>SEC Reports</w:t>
      </w:r>
      <w:r>
        <w:rPr>
          <w:rFonts w:ascii="Times New Roman" w:hAnsi="Times New Roman"/>
          <w:sz w:val="20"/>
        </w:rPr>
        <w:t xml:space="preserve">” shall have the meaning ascribed to such term in </w:t>
      </w:r>
      <w:r>
        <w:rPr>
          <w:rFonts w:ascii="Times New Roman" w:hAnsi="Times New Roman"/>
          <w:sz w:val="20"/>
          <w:u w:val="single"/>
        </w:rPr>
        <w:t>Section 3.1(g)</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Securities</w:t>
      </w:r>
      <w:r>
        <w:rPr>
          <w:rFonts w:ascii="Times New Roman" w:hAnsi="Times New Roman"/>
          <w:sz w:val="20"/>
        </w:rPr>
        <w:t xml:space="preserve">” means the Shares, the Warrants and the Warrant Shares.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Securities Act</w:t>
      </w:r>
      <w:r>
        <w:rPr>
          <w:rFonts w:ascii="Times New Roman" w:hAnsi="Times New Roman"/>
          <w:sz w:val="20"/>
        </w:rPr>
        <w:t xml:space="preserve">” means the Securities Act of 1933, as amended, and the rules and regulations promulgated thereunder. </w:t>
      </w:r>
    </w:p>
    <w:p>
      <w:pPr>
        <w:pStyle w:val="TextBody"/>
        <w:bidi w:val="0"/>
        <w:spacing w:before="240" w:after="0"/>
        <w:jc w:val="left"/>
        <w:rPr/>
      </w:pPr>
      <w:r>
        <w:rPr/>
        <w:t>“</w:t>
      </w:r>
      <w:r>
        <w:rPr>
          <w:rFonts w:ascii="Times New Roman" w:hAnsi="Times New Roman"/>
          <w:sz w:val="20"/>
          <w:u w:val="single"/>
        </w:rPr>
        <w:t>Shares</w:t>
      </w:r>
      <w:r>
        <w:rPr>
          <w:rFonts w:ascii="Times New Roman" w:hAnsi="Times New Roman"/>
          <w:sz w:val="20"/>
        </w:rPr>
        <w:t xml:space="preserve">” means the shares of Common Stock issued or issuable to each Purchaser pursuant to this Agreement. </w:t>
      </w:r>
    </w:p>
    <w:p>
      <w:pPr>
        <w:pStyle w:val="TextBody"/>
        <w:bidi w:val="0"/>
        <w:spacing w:before="240" w:after="0"/>
        <w:jc w:val="left"/>
        <w:rPr/>
      </w:pPr>
      <w:r>
        <w:rPr/>
        <w:t>“</w:t>
      </w:r>
      <w:r>
        <w:rPr>
          <w:rFonts w:ascii="Times New Roman" w:hAnsi="Times New Roman"/>
          <w:sz w:val="20"/>
          <w:u w:val="single"/>
        </w:rPr>
        <w:t>Short Sales</w:t>
      </w:r>
      <w:r>
        <w:rPr>
          <w:rFonts w:ascii="Times New Roman" w:hAnsi="Times New Roman"/>
          <w:sz w:val="20"/>
        </w:rPr>
        <w:t xml:space="preserve">” means all “short sales” as defined in Rule 200 of Regulation SHO under the Exchange Act (but shall not be deemed to include locating and/or borrowing shares of Common Stock). </w:t>
      </w:r>
    </w:p>
    <w:p>
      <w:pPr>
        <w:pStyle w:val="TextBody"/>
        <w:bidi w:val="0"/>
        <w:spacing w:before="240" w:after="0"/>
        <w:jc w:val="left"/>
        <w:rPr/>
      </w:pPr>
      <w:r>
        <w:rPr/>
        <w:t>“</w:t>
      </w:r>
      <w:r>
        <w:rPr>
          <w:rFonts w:ascii="Times New Roman" w:hAnsi="Times New Roman"/>
          <w:sz w:val="20"/>
          <w:u w:val="single"/>
        </w:rPr>
        <w:t>Stockholder Approval</w:t>
      </w:r>
      <w:r>
        <w:rPr>
          <w:rFonts w:ascii="Times New Roman" w:hAnsi="Times New Roman"/>
          <w:sz w:val="20"/>
        </w:rPr>
        <w:t xml:space="preserve">” means such approval as may be required by the applicable rules and regulations of The Nasdaq Stock Market LLC (or any successor entity) from the stockholders of the Company with respect to the issuance of the Common Warrant Shares upon exercise of the Common Warrants. </w:t>
      </w:r>
    </w:p>
    <w:p>
      <w:pPr>
        <w:pStyle w:val="TextBody"/>
        <w:bidi w:val="0"/>
        <w:spacing w:before="240" w:after="0"/>
        <w:jc w:val="left"/>
        <w:rPr/>
      </w:pPr>
      <w:r>
        <w:rPr/>
        <w:t>“</w:t>
      </w:r>
      <w:r>
        <w:rPr>
          <w:rFonts w:ascii="Times New Roman" w:hAnsi="Times New Roman"/>
          <w:sz w:val="20"/>
          <w:u w:val="single"/>
        </w:rPr>
        <w:t>Stockholder Approval Date</w:t>
      </w:r>
      <w:r>
        <w:rPr>
          <w:rFonts w:ascii="Times New Roman" w:hAnsi="Times New Roman"/>
          <w:sz w:val="20"/>
        </w:rPr>
        <w:t xml:space="preserve">” means the date on which Stockholder Approval is received and deemed effective. </w:t>
      </w:r>
    </w:p>
    <w:p>
      <w:pPr>
        <w:pStyle w:val="TextBody"/>
        <w:bidi w:val="0"/>
        <w:spacing w:before="240" w:after="0"/>
        <w:jc w:val="left"/>
        <w:rPr/>
      </w:pPr>
      <w:r>
        <w:rPr/>
        <w:t>“</w:t>
      </w:r>
      <w:r>
        <w:rPr>
          <w:rFonts w:ascii="Times New Roman" w:hAnsi="Times New Roman"/>
          <w:sz w:val="20"/>
          <w:u w:val="single"/>
        </w:rPr>
        <w:t>Subscription Amount</w:t>
      </w:r>
      <w:r>
        <w:rPr>
          <w:rFonts w:ascii="Times New Roman" w:hAnsi="Times New Roman"/>
          <w:sz w:val="20"/>
        </w:rPr>
        <w:t xml:space="preserve">” means, as to the Purchaser, the aggregate amount to be paid for the Shares, Pre-Funded Warrants and Common Warrants purchased hereunder as specified below the Purchaser’s name on the signature page of this Agreement and next to the heading “Subscription Amount,” in United States dollars and in immediately available funds. </w:t>
      </w:r>
    </w:p>
    <w:p>
      <w:pPr>
        <w:pStyle w:val="TextBody"/>
        <w:bidi w:val="0"/>
        <w:spacing w:before="240" w:after="0"/>
        <w:jc w:val="left"/>
        <w:rPr/>
      </w:pPr>
      <w:r>
        <w:rPr/>
        <w:t>“</w:t>
      </w:r>
      <w:r>
        <w:rPr>
          <w:rFonts w:ascii="Times New Roman" w:hAnsi="Times New Roman"/>
          <w:sz w:val="20"/>
          <w:u w:val="single"/>
        </w:rPr>
        <w:t>Trading Day</w:t>
      </w:r>
      <w:r>
        <w:rPr>
          <w:rFonts w:ascii="Times New Roman" w:hAnsi="Times New Roman"/>
          <w:sz w:val="20"/>
        </w:rPr>
        <w:t xml:space="preserve">” means a day on which the principal Trading Market is open for trading. </w:t>
      </w:r>
    </w:p>
    <w:p>
      <w:pPr>
        <w:pStyle w:val="TextBody"/>
        <w:bidi w:val="0"/>
        <w:spacing w:before="240" w:after="0"/>
        <w:jc w:val="left"/>
        <w:rPr/>
      </w:pPr>
      <w:r>
        <w:rPr/>
        <w:t>“</w:t>
      </w:r>
      <w:r>
        <w:rPr>
          <w:rFonts w:ascii="Times New Roman" w:hAnsi="Times New Roman"/>
          <w:sz w:val="20"/>
          <w:u w:val="single"/>
        </w:rPr>
        <w:t>Trading Market</w:t>
      </w:r>
      <w:r>
        <w:rPr>
          <w:rFonts w:ascii="Times New Roman" w:hAnsi="Times New Roman"/>
          <w:sz w:val="20"/>
        </w:rPr>
        <w:t xml:space="preserve">”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 </w:t>
      </w:r>
    </w:p>
    <w:p>
      <w:pPr>
        <w:pStyle w:val="TextBody"/>
        <w:bidi w:val="0"/>
        <w:spacing w:before="240" w:after="0"/>
        <w:jc w:val="left"/>
        <w:rPr/>
      </w:pPr>
      <w:r>
        <w:rPr/>
        <w:t>“</w:t>
      </w:r>
      <w:r>
        <w:rPr>
          <w:rFonts w:ascii="Times New Roman" w:hAnsi="Times New Roman"/>
          <w:sz w:val="20"/>
          <w:u w:val="single"/>
        </w:rPr>
        <w:t>Transaction Documents</w:t>
      </w:r>
      <w:r>
        <w:rPr>
          <w:rFonts w:ascii="Times New Roman" w:hAnsi="Times New Roman"/>
          <w:sz w:val="20"/>
        </w:rPr>
        <w:t xml:space="preserve">” means this Agreement, the Pre-Funded Warrants, the Common Warrants, the Lock-Up Agreements, the Placement Agency Agreement, all exhibits and schedules thereto and hereto and any other documents or agreements executed in connection with the transactions contemplated hereunder. </w:t>
      </w:r>
    </w:p>
    <w:p>
      <w:pPr>
        <w:pStyle w:val="TextBody"/>
        <w:bidi w:val="0"/>
        <w:spacing w:before="240" w:after="0"/>
        <w:jc w:val="left"/>
        <w:rPr/>
      </w:pPr>
      <w:r>
        <w:rPr/>
        <w:t>“</w:t>
      </w:r>
      <w:r>
        <w:rPr>
          <w:rFonts w:ascii="Times New Roman" w:hAnsi="Times New Roman"/>
          <w:sz w:val="20"/>
          <w:u w:val="single"/>
        </w:rPr>
        <w:t>Transfer Agent</w:t>
      </w:r>
      <w:r>
        <w:rPr>
          <w:rFonts w:ascii="Times New Roman" w:hAnsi="Times New Roman"/>
          <w:sz w:val="20"/>
        </w:rPr>
        <w:t xml:space="preserve">” means Continental Stock Transfer &amp; Trust Company. </w:t>
      </w:r>
    </w:p>
    <w:p>
      <w:pPr>
        <w:pStyle w:val="TextBody"/>
        <w:bidi w:val="0"/>
        <w:spacing w:before="240" w:after="0"/>
        <w:jc w:val="left"/>
        <w:rPr/>
      </w:pPr>
      <w:r>
        <w:rPr/>
        <w:t>“</w:t>
      </w:r>
      <w:r>
        <w:rPr>
          <w:rFonts w:ascii="Times New Roman" w:hAnsi="Times New Roman"/>
          <w:sz w:val="20"/>
          <w:u w:val="single"/>
        </w:rPr>
        <w:t>Variable Rate Transaction</w:t>
      </w:r>
      <w:r>
        <w:rPr>
          <w:rFonts w:ascii="Times New Roman" w:hAnsi="Times New Roman"/>
          <w:sz w:val="20"/>
        </w:rPr>
        <w:t xml:space="preserve">” shall have the meaning ascribed to such term in </w:t>
      </w:r>
      <w:r>
        <w:rPr>
          <w:rFonts w:ascii="Times New Roman" w:hAnsi="Times New Roman"/>
          <w:sz w:val="20"/>
          <w:u w:val="single"/>
        </w:rPr>
        <w:t>Section 4.12(b)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Warrants</w:t>
      </w:r>
      <w:r>
        <w:rPr>
          <w:rFonts w:ascii="Times New Roman" w:hAnsi="Times New Roman"/>
          <w:sz w:val="20"/>
        </w:rPr>
        <w:t xml:space="preserve">” means, collectively, the Common Warrants and the Pre-Funded Warrants. </w:t>
      </w:r>
    </w:p>
    <w:p>
      <w:pPr>
        <w:pStyle w:val="TextBody"/>
        <w:bidi w:val="0"/>
        <w:spacing w:before="240" w:after="0"/>
        <w:jc w:val="left"/>
        <w:rPr/>
      </w:pPr>
      <w:r>
        <w:rPr/>
        <w:t>“</w:t>
      </w:r>
      <w:r>
        <w:rPr>
          <w:rFonts w:ascii="Times New Roman" w:hAnsi="Times New Roman"/>
          <w:sz w:val="20"/>
          <w:u w:val="single"/>
        </w:rPr>
        <w:t>Warrant Shares</w:t>
      </w:r>
      <w:r>
        <w:rPr>
          <w:rFonts w:ascii="Times New Roman" w:hAnsi="Times New Roman"/>
          <w:sz w:val="20"/>
        </w:rPr>
        <w:t xml:space="preserve">” means the shares of Common Stock issuable upon exercise of the Common Warrants and the Pre-Funded Warrants.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0" w:after="0"/>
        <w:jc w:val="center"/>
        <w:rPr>
          <w:rFonts w:ascii="Times New Roman" w:hAnsi="Times New Roman"/>
          <w:sz w:val="20"/>
        </w:rPr>
      </w:pPr>
      <w:r>
        <w:rPr>
          <w:rFonts w:ascii="Times New Roman" w:hAnsi="Times New Roman"/>
          <w:sz w:val="20"/>
        </w:rPr>
        <w:t xml:space="preserve">PURCHASE AND SALE </w:t>
      </w:r>
    </w:p>
    <w:p>
      <w:pPr>
        <w:pStyle w:val="TextBody"/>
        <w:bidi w:val="0"/>
        <w:spacing w:before="240" w:after="0"/>
        <w:jc w:val="left"/>
        <w:rPr>
          <w:rFonts w:ascii="Times New Roman" w:hAnsi="Times New Roman"/>
          <w:sz w:val="20"/>
        </w:rPr>
      </w:pPr>
      <w:r>
        <w:rPr>
          <w:rFonts w:ascii="Times New Roman" w:hAnsi="Times New Roman"/>
          <w:sz w:val="20"/>
        </w:rPr>
        <w:t xml:space="preserve">2.1 </w:t>
      </w:r>
      <w:r>
        <w:rPr>
          <w:rFonts w:ascii="Times New Roman" w:hAnsi="Times New Roman"/>
          <w:sz w:val="20"/>
          <w:u w:val="single"/>
        </w:rPr>
        <w:t>Closing</w:t>
      </w:r>
      <w:r>
        <w:rPr>
          <w:rFonts w:ascii="Times New Roman" w:hAnsi="Times New Roman"/>
          <w:sz w:val="20"/>
        </w:rPr>
        <w:t xml:space="preserve">. On the Closing Date, upon the terms and subject to the conditions set forth herein, the Company agrees to sell, and the Purchasers, severally and not jointly, agree to purchase approximately $4 million of the Securities, which includes, (i) the number of Pre-Funded Warrant Shares set forth under the heading “Subscription Amount” on the Purchaser’s signature page hereto, at the Per Pre-Funded Warrant Purchase Price, and (ii) Common Warrants exercisable for shares of Common Stock as calculated pursuant to </w:t>
      </w:r>
      <w:r>
        <w:rPr>
          <w:rFonts w:ascii="Times New Roman" w:hAnsi="Times New Roman"/>
          <w:sz w:val="20"/>
          <w:u w:val="single"/>
        </w:rPr>
        <w:t>Section 2.2(a)</w:t>
      </w:r>
      <w:r>
        <w:rPr>
          <w:rFonts w:ascii="Times New Roman" w:hAnsi="Times New Roman"/>
          <w:sz w:val="20"/>
        </w:rPr>
        <w:t xml:space="preserve">. Notwithstanding anything herein to the contrary, to the extent that any Purchaser determines, in its sole discretion, that the Purchaser’s Subscription Amount would cause such Purchaser’s beneficial ownership of the shares of Common Stock to exceed the Beneficial Ownership Limitation, or as such Purchaser may otherwise choose, such Purchaser may elect to purchase Pre-Funded Warrants in lieu of the Shares as determined pursuant to </w:t>
      </w:r>
      <w:r>
        <w:rPr>
          <w:rFonts w:ascii="Times New Roman" w:hAnsi="Times New Roman"/>
          <w:sz w:val="20"/>
          <w:u w:val="single"/>
        </w:rPr>
        <w:t>Section 2.2(a)</w:t>
      </w:r>
      <w:r>
        <w:rPr>
          <w:rFonts w:ascii="Times New Roman" w:hAnsi="Times New Roman"/>
          <w:sz w:val="20"/>
        </w:rPr>
        <w:t>. The “</w:t>
      </w:r>
      <w:r>
        <w:rPr>
          <w:rFonts w:ascii="Times New Roman" w:hAnsi="Times New Roman"/>
          <w:sz w:val="20"/>
          <w:u w:val="single"/>
        </w:rPr>
        <w:t>Beneficial Ownership Limitation</w:t>
      </w:r>
      <w:r>
        <w:rPr>
          <w:rFonts w:ascii="Times New Roman" w:hAnsi="Times New Roman"/>
          <w:sz w:val="20"/>
        </w:rPr>
        <w:t>” shall be 4.99% (or, at the election of each Purchaser at Closing, 9.99%) of the number of shares of the Common Stock outstanding immediately after giving effect to the issuance of the Securities on the Closing Date. Each Purchaser’s Subscription Amount as set forth on the signature page hereto executed by such Purchaser shall be made available for “Delivery Versus Payment” (“</w:t>
      </w:r>
      <w:r>
        <w:rPr>
          <w:rFonts w:ascii="Times New Roman" w:hAnsi="Times New Roman"/>
          <w:sz w:val="20"/>
          <w:u w:val="single"/>
        </w:rPr>
        <w:t>DVP</w:t>
      </w:r>
      <w:r>
        <w:rPr>
          <w:rFonts w:ascii="Times New Roman" w:hAnsi="Times New Roman"/>
          <w:sz w:val="20"/>
        </w:rPr>
        <w:t xml:space="preserve">”) settlement with the Company or its designees. Notwithstanding the foregoing, with respect to any Notice(s) of Exercise (as defined in the Pre-Funded Warrants) delivered on or prior to 12:00 p.m. (New York City time) on the Closing Date, which may be delivered at any time after the time of execution of this Agreement, the Company agrees to deliver the Pre-Funded Warrant Shares subject to such notice(s) by 4:00 p.m. (New York City time) on the Closing Date and the Closing Date shall be the Warrant Share Delivery Date (as defined in the Pre-Funded Warrants) for purposes hereunder, provided that payment of the aggregate Exercise Price (as defined in the Pre-Funded Warrants) (other than in the case of a cashless exercise) is received by such Warrant Share Delivery Date. The Company and each Purchaser shall deliver the other items set forth in </w:t>
      </w:r>
      <w:r>
        <w:rPr>
          <w:rFonts w:ascii="Times New Roman" w:hAnsi="Times New Roman"/>
          <w:sz w:val="20"/>
          <w:u w:val="single"/>
        </w:rPr>
        <w:t>Section 2.2</w:t>
      </w:r>
      <w:r>
        <w:rPr>
          <w:rFonts w:ascii="Times New Roman" w:hAnsi="Times New Roman"/>
          <w:sz w:val="20"/>
        </w:rPr>
        <w:t xml:space="preserve"> deliverable at the Closing. Upon satisfaction of the covenants and conditions set forth in </w:t>
      </w:r>
      <w:r>
        <w:rPr>
          <w:rFonts w:ascii="Times New Roman" w:hAnsi="Times New Roman"/>
          <w:sz w:val="20"/>
          <w:u w:val="single"/>
        </w:rPr>
        <w:t>Sections 2.2</w:t>
      </w:r>
      <w:r>
        <w:rPr>
          <w:rFonts w:ascii="Times New Roman" w:hAnsi="Times New Roman"/>
          <w:sz w:val="20"/>
        </w:rPr>
        <w:t xml:space="preserve"> and </w:t>
      </w:r>
      <w:r>
        <w:rPr>
          <w:rFonts w:ascii="Times New Roman" w:hAnsi="Times New Roman"/>
          <w:sz w:val="20"/>
          <w:u w:val="single"/>
        </w:rPr>
        <w:t>2.3</w:t>
      </w:r>
      <w:r>
        <w:rPr>
          <w:rFonts w:ascii="Times New Roman" w:hAnsi="Times New Roman"/>
          <w:sz w:val="20"/>
        </w:rPr>
        <w:t xml:space="preserve">, the Closing shall occur remotely or such location as the parties shall mutually agree. Settlement of the Shares shall occur via DVP when such Purchaser makes payment of the Subscription Amount by wire transfer of immediately available funds to a bank account designated by the Company, upon which payment the Company shall issue the Shares registered in such Purchaser’s name and address and released by the Transfer Agent directly to the account(s) at the Placement Agent identified by such Purchaser; upon receipt of such Shares, the Placement Agent shall promptly electronically deliver such Shares to the Purchaser. </w:t>
      </w:r>
    </w:p>
    <w:p>
      <w:pPr>
        <w:pStyle w:val="TextBody"/>
        <w:bidi w:val="0"/>
        <w:spacing w:before="240" w:after="0"/>
        <w:jc w:val="left"/>
        <w:rPr>
          <w:rFonts w:ascii="Times New Roman" w:hAnsi="Times New Roman"/>
          <w:sz w:val="20"/>
        </w:rPr>
      </w:pPr>
      <w:r>
        <w:rPr>
          <w:rFonts w:ascii="Times New Roman" w:hAnsi="Times New Roman"/>
          <w:sz w:val="20"/>
        </w:rPr>
        <w:t xml:space="preserve">2.2 </w:t>
      </w:r>
      <w:r>
        <w:rPr>
          <w:rFonts w:ascii="Times New Roman" w:hAnsi="Times New Roman"/>
          <w:sz w:val="20"/>
          <w:u w:val="single"/>
        </w:rPr>
        <w:t>Deliveries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On or prior to the Closing Date, the Company shall deliver or cause to be delivered to each Purchaser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(i)</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Agreement duly executed by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(ii)</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legal opinion of Company Counsel in a form reasonably acceptable to the Placement Agent and the Purchasers;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(iii)</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shall have provided each Purchaser with the Company’s wire instructions, on Company letterhead and executed by the Chief Executive Officer or Chief Financial Officer;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(iv)</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the last sentence of </w:t>
            </w:r>
            <w:r>
              <w:rPr>
                <w:rFonts w:ascii="Times New Roman" w:hAnsi="Times New Roman"/>
                <w:sz w:val="20"/>
                <w:u w:val="single"/>
              </w:rPr>
              <w:t>Section 2.1</w:t>
            </w:r>
            <w:r>
              <w:rPr>
                <w:rFonts w:ascii="Times New Roman" w:hAnsi="Times New Roman"/>
                <w:sz w:val="20"/>
              </w:rPr>
              <w:t>, a copy of the irrevocable instructions to the Transfer Agent instructing the Transfer Agent to deliver on an expedited basis via The Depository Trust Company Deposit or Withdrawal at Custodian system (“</w:t>
            </w:r>
            <w:r>
              <w:rPr>
                <w:rFonts w:ascii="Times New Roman" w:hAnsi="Times New Roman"/>
                <w:sz w:val="20"/>
                <w:u w:val="single"/>
              </w:rPr>
              <w:t>DWAC</w:t>
            </w:r>
            <w:r>
              <w:rPr>
                <w:rFonts w:ascii="Times New Roman" w:hAnsi="Times New Roman"/>
                <w:sz w:val="20"/>
              </w:rPr>
              <w:t xml:space="preserve">”) Shares equal to the Purchaser’s Subscription Amount divided by the Per Share Purchase Price, registered in the name of the Purchaser;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(v)</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a Pre-Funded Warrant registered in the name of each Purchaser to purchase up to a number of shares of Common Stock equal to the difference between (A) the Purchaser’s Subscription Amount applicable to the Pre-Funded Warrants divided by the Pre-Funded Warrant Purchase Price and (B) the number of Shares otherwise issuable to each Purchaser that would cause the Purchaser’s beneficial ownership of Common Stock to be more than the Beneficial Ownership Limitation with an exercise price equal to $0.001 per share of Common Stock, subject to adjustment therein;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(vi)</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Common Warrant registered in the name of each Purchaser to purchase up to a number of shares of Common Stock equal to 100% of the Purchaser’s Shares, with an exercise price equal to $0.85, subject to adjustment therein;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(vii)</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Officer’s Certificate, in form and substance reasonably satisfactory to the Placement Agent;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11"/>
        <w:gridCol w:w="9794"/>
      </w:tblGrid>
      <w:tr>
        <w:trPr/>
        <w:tc>
          <w:tcPr>
            <w:tcW w:w="411" w:type="dxa"/>
            <w:tcBorders/>
          </w:tcPr>
          <w:p>
            <w:pPr>
              <w:pStyle w:val="TableContents"/>
              <w:bidi w:val="0"/>
              <w:spacing w:before="0" w:after="283"/>
              <w:jc w:val="left"/>
              <w:rPr/>
            </w:pPr>
            <w:r>
              <w:rPr/>
              <w:t>(viii)</w:t>
            </w:r>
          </w:p>
        </w:tc>
        <w:tc>
          <w:tcPr>
            <w:tcW w:w="979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Secretary’s Certificate, in form and substance reasonably satisfactory to the Placement Agent;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(ix)</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Lock-Up Agreements duly executed by each executive officer and director of the Company. </w:t>
            </w:r>
          </w:p>
        </w:tc>
      </w:tr>
    </w:tbl>
    <w:p>
      <w:pPr>
        <w:pStyle w:val="TextBody"/>
        <w:bidi w:val="0"/>
        <w:spacing w:before="240" w:after="0"/>
        <w:jc w:val="left"/>
        <w:rPr>
          <w:rFonts w:ascii="Times New Roman" w:hAnsi="Times New Roman"/>
          <w:sz w:val="20"/>
        </w:rPr>
      </w:pPr>
      <w:r>
        <w:rPr>
          <w:rFonts w:ascii="Times New Roman" w:hAnsi="Times New Roman"/>
          <w:sz w:val="20"/>
        </w:rPr>
        <w:t xml:space="preserve">(b) On or prior to the Closing Date, each Purchaser shall deliver or cause to be delivered to the Company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(i)</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Agreement duly executed by such Purchaser;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(ii)</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Purchaser’s Subscription Amount, which shall be made available for DVP settlement with the Company or its designees.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2.3 </w:t>
      </w:r>
      <w:r>
        <w:rPr>
          <w:rFonts w:ascii="Times New Roman" w:hAnsi="Times New Roman"/>
          <w:sz w:val="20"/>
          <w:u w:val="single"/>
        </w:rPr>
        <w:t>Closing Conditions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obligations of the Company hereunder in connection with the Closing are subject to the following conditions being met: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(i)</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accuracy in all material respects (or, to the extent representations or warranties are qualified by materiality or Material Adverse Effect, in all respects) when made and on the Closing Date of the representations and warranties of the Purchasers contained herein (unless as of a specific date therein in which case they shall be accurate as of such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(ii)</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obligations, covenants and agreements of each Purchaser required to be performed at or prior to the Closing Date shall have been performed;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(iii)</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delivery by each Purchaser of the items set forth in </w:t>
            </w:r>
            <w:r>
              <w:rPr>
                <w:rFonts w:ascii="Times New Roman" w:hAnsi="Times New Roman"/>
                <w:sz w:val="20"/>
                <w:u w:val="single"/>
              </w:rPr>
              <w:t>Section 2.2(b)</w:t>
            </w:r>
            <w:r>
              <w:rPr>
                <w:rFonts w:ascii="Times New Roman" w:hAnsi="Times New Roman"/>
                <w:sz w:val="20"/>
              </w:rPr>
              <w:t xml:space="preserve"> of this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(b) The respective obligations of each Purchaser in connection with the Closing are subject to the following conditions being met: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(i)</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accuracy in all material respects (or, to the extent representations or warranties are qualified by materiality or Material Adverse Effect, in all respects) when made and on the Closing Date of the representations and warranties of the Company contained herein (unless as of a specific date therein in which case they shall be accurate as of such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(ii)</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obligations, covenants and agreements of the Company required to be performed at or prior to the Closing Date shall have been performed;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(iii)</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delivery by the Company of the items set forth in </w:t>
            </w:r>
            <w:r>
              <w:rPr>
                <w:rFonts w:ascii="Times New Roman" w:hAnsi="Times New Roman"/>
                <w:sz w:val="20"/>
                <w:u w:val="single"/>
              </w:rPr>
              <w:t>Section 2.2(a)</w:t>
            </w:r>
            <w:r>
              <w:rPr>
                <w:rFonts w:ascii="Times New Roman" w:hAnsi="Times New Roman"/>
                <w:sz w:val="20"/>
              </w:rPr>
              <w:t xml:space="preserve"> of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(iv)</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shall have been no Material Adverse Effect with respect to the Company since the date hereof;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(v)</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from the date hereof to the Closing Date, trading in the Common Stock shall not have been suspended by the Commission or the Company’s principal Trading Market, and, at any time prior to the Closing Date, trading in securities generally as reported by Bloomberg L.P. shall not have been suspended or limited, or minimum prices shall not have been established on securities whose trades are reported by such service, or on any Trading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the Purchaser, makes it impracticable or inadvisable to purchase the Securities at the Closing.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0" w:after="0"/>
        <w:jc w:val="center"/>
        <w:rPr>
          <w:rFonts w:ascii="Times New Roman" w:hAnsi="Times New Roman"/>
          <w:sz w:val="20"/>
        </w:rPr>
      </w:pPr>
      <w:r>
        <w:rPr>
          <w:rFonts w:ascii="Times New Roman" w:hAnsi="Times New Roman"/>
          <w:sz w:val="20"/>
        </w:rPr>
        <w:t xml:space="preserve">REPRESENTATIONS AND WARRANTIES </w:t>
      </w:r>
    </w:p>
    <w:p>
      <w:pPr>
        <w:pStyle w:val="TextBody"/>
        <w:bidi w:val="0"/>
        <w:spacing w:before="240" w:after="0"/>
        <w:jc w:val="left"/>
        <w:rPr>
          <w:rFonts w:ascii="Times New Roman" w:hAnsi="Times New Roman"/>
          <w:sz w:val="20"/>
        </w:rPr>
      </w:pPr>
      <w:r>
        <w:rPr>
          <w:rFonts w:ascii="Times New Roman" w:hAnsi="Times New Roman"/>
          <w:sz w:val="20"/>
        </w:rPr>
        <w:t xml:space="preserve">3.1 </w:t>
      </w:r>
      <w:r>
        <w:rPr>
          <w:rFonts w:ascii="Times New Roman" w:hAnsi="Times New Roman"/>
          <w:sz w:val="20"/>
          <w:u w:val="single"/>
        </w:rPr>
        <w:t>Representations and Warranties of the Company</w:t>
      </w:r>
      <w:r>
        <w:rPr>
          <w:rFonts w:ascii="Times New Roman" w:hAnsi="Times New Roman"/>
          <w:sz w:val="20"/>
        </w:rPr>
        <w:t xml:space="preserve">. Except as set forth in the Disclosure Schedules, which Disclosure Schedules shall be deemed a part hereof and shall qualify any representation or otherwise made herein to the extent of the disclosure contained in the corresponding section of the Disclosure Schedules, the Company hereby makes the following representations and warranties to the Purchaser: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Organization and Good Standing</w:t>
      </w:r>
      <w:r>
        <w:rPr>
          <w:rFonts w:ascii="Times New Roman" w:hAnsi="Times New Roman"/>
          <w:sz w:val="20"/>
        </w:rPr>
        <w:t xml:space="preserve">. Each of the subsidiaries of the Company are set forth on </w:t>
      </w:r>
      <w:r>
        <w:rPr>
          <w:rFonts w:ascii="Times New Roman" w:hAnsi="Times New Roman"/>
          <w:sz w:val="20"/>
          <w:u w:val="single"/>
        </w:rPr>
        <w:t>Schedule 3.1(a)</w:t>
      </w:r>
      <w:r>
        <w:rPr>
          <w:rFonts w:ascii="Times New Roman" w:hAnsi="Times New Roman"/>
          <w:sz w:val="20"/>
        </w:rPr>
        <w:t>. Each of the Company and its subsidiaries has been duly incorporated or organized, as applicable, is validly existing and is in good standing (to the extent the concept of good standing is applicable in such jurisdiction) under the laws of its jurisdiction of incorporation or organization. Each of the Company and its subsidiaries has the requisite power and authority to own its properties and conduct its business as currently being carried on and as described in the SEC Reports, and is duly qualified to do business as a foreign corporation or other entity in good standing in each jurisdiction in which the conduct of its business or ownership of property makes such qualification necessary and in which the failure to so qualify would have (a) a material adverse effect upon the business, properties, operations, financial condition or results of operations of the Company and its subsidiaries, taken as a whole, or (b) a material adverse effect on the Company’s ability to perform in any material respect on a timely basis its obligations under the Transaction Documents (“</w:t>
      </w:r>
      <w:r>
        <w:rPr>
          <w:rFonts w:ascii="Times New Roman" w:hAnsi="Times New Roman"/>
          <w:sz w:val="20"/>
          <w:u w:val="single"/>
        </w:rPr>
        <w:t>Material Adverse Effect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No Violations or Defaults</w:t>
      </w:r>
      <w:r>
        <w:rPr>
          <w:rFonts w:ascii="Times New Roman" w:hAnsi="Times New Roman"/>
          <w:sz w:val="20"/>
        </w:rPr>
        <w:t xml:space="preserve">. Except as set forth on </w:t>
      </w:r>
      <w:r>
        <w:rPr>
          <w:rFonts w:ascii="Times New Roman" w:hAnsi="Times New Roman"/>
          <w:sz w:val="20"/>
          <w:u w:val="single"/>
        </w:rPr>
        <w:t>Schedule 3.1(b)</w:t>
      </w:r>
      <w:r>
        <w:rPr>
          <w:rFonts w:ascii="Times New Roman" w:hAnsi="Times New Roman"/>
          <w:sz w:val="20"/>
        </w:rPr>
        <w:t xml:space="preserve">, neither the Company nor any of its subsidiaries (A) is in violation of its respective charters, bylaws or other organizational documents, (B) is in breach of or otherwise in default and no event has occurred which, with notice or lapse of time or both, would constitute such a default, in the performance or observance of any term, covenant or condition contained in any contract, indenture, mortgage, deed of trust, loan agreement, lease or other agreement or instrument to which it is a party or by which it is bound or to which any of its material property or assets is subject, or (C) is in violation in any respect of any law, ordinance, governmental rule, regulation or court order, decree or judgment to which it or its property or assets may be subject, including the Sarbanes-Oxley Act and the Exchange Act; except, in the case of clauses (A), (B) and (C) of this paragraph (b), for any breaches, violations or defaults which, singularly or in the aggregate, would not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Authorization; No Conflicts; Authority</w:t>
      </w:r>
      <w:r>
        <w:rPr>
          <w:rFonts w:ascii="Times New Roman" w:hAnsi="Times New Roman"/>
          <w:sz w:val="20"/>
        </w:rPr>
        <w:t>. This Agreement has been duly authorized, executed and delivered by the Company, and constitutes a valid, legal and binding obligation of the Company, enforceable in accordance with its terms, except as rights to indemnity hereunder may be limited by federal or state securities laws and except as such enforceability may be limited by bankruptcy, insolvency, reorganization or similar laws affecting the rights of creditors generally and subject to general principles of equity. The Warrants have been duly authorized, and when executed and delivered by the Company, shall constitute a valid, legal and binding obligation of the Company, enforceable in accordance with their terms, except as such enforceability may be limited by bankruptcy, insolvency, reorganization or similar laws affecting the rights of creditors generally and subject to general principles of equity. The execution, delivery and performance of the Transaction Documents and the consummation of the transactions herein and therein contemplated will not (A) conflict with or result in a breach or violation of any of the terms or provisions of, or constitute a default under, or result in the creation or imposition of any lien, charge or encumbrance upon any property or assets of the Company or any of its subsidiaries pursuant to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and which is material to the Company and its subsidiaries taken as a whole, (B) result in any violation of the provisions of the Company’s charter or by-laws or (C) result in the violation of any law or statute or any judgment, order, rule, regulation or decree of any court or arbitrator or federal, state, local or foreign governmental agency or regulatory authority having jurisdiction over the Company or any of its subsidiaries or any of their properties or assets (each, a “</w:t>
      </w:r>
      <w:r>
        <w:rPr>
          <w:rFonts w:ascii="Times New Roman" w:hAnsi="Times New Roman"/>
          <w:sz w:val="20"/>
          <w:u w:val="single"/>
        </w:rPr>
        <w:t>Governmental Authority</w:t>
      </w:r>
      <w:r>
        <w:rPr>
          <w:rFonts w:ascii="Times New Roman" w:hAnsi="Times New Roman"/>
          <w:sz w:val="20"/>
        </w:rPr>
        <w:t>”), except in the case of clause (A) or (C) as would not result in a Material Adverse Effect. No consent, approval, authorization or order of, or registration or filing with any Governmental Authority is required for the execution, delivery and performance of this Agreement or for the consummation of the transactions contemplated hereby, including the issuance or sale of the Shares by the Company, except such as may be required under the Securities Act, the rules of the Financial Industry Regulatory Authority (“</w:t>
      </w:r>
      <w:r>
        <w:rPr>
          <w:rFonts w:ascii="Times New Roman" w:hAnsi="Times New Roman"/>
          <w:sz w:val="20"/>
          <w:u w:val="single"/>
        </w:rPr>
        <w:t>FINRA</w:t>
      </w:r>
      <w:r>
        <w:rPr>
          <w:rFonts w:ascii="Times New Roman" w:hAnsi="Times New Roman"/>
          <w:sz w:val="20"/>
        </w:rPr>
        <w:t xml:space="preserve">”) or state securities or blue sky laws; and the Company has full power and authority to enter into the Transaction Documents and to consummate the transactions contemplated hereby and thereby, including the authorization, issuance and sale of the Securities as contemplated by this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Filings, Consents and Approvals</w:t>
      </w:r>
      <w:r>
        <w:rPr>
          <w:rFonts w:ascii="Times New Roman" w:hAnsi="Times New Roman"/>
          <w:sz w:val="20"/>
        </w:rPr>
        <w: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other than: (i) the filings required pursuant to Section 4.4 of this Agreement, (ii) the filing with the Commission of the Registration Statement, (iii) application(s) to each applicable Trading Market for the listing of the Shares and Warrant Shares for trading thereon in the time and manner required thereby, and (iv) such filings as are required to be made under applicable state securities laws (collectively, the “</w:t>
      </w:r>
      <w:r>
        <w:rPr>
          <w:rFonts w:ascii="Times New Roman" w:hAnsi="Times New Roman"/>
          <w:sz w:val="20"/>
          <w:u w:val="single"/>
        </w:rPr>
        <w:t>Required Approvals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Issuance of the Securities; Registration</w:t>
      </w:r>
      <w:r>
        <w:rPr>
          <w:rFonts w:ascii="Times New Roman" w:hAnsi="Times New Roman"/>
          <w:sz w:val="20"/>
        </w:rPr>
        <w:t xml:space="preserve">. The Shares are duly authorized and, when issued and paid for in accordance with the applicable Transaction Documents, will be duly and validly issued, fully paid and nonassessable, free and clear of all Liens imposed by the Company. When paid for and issued in accordance with this Agreement, the Warrants will constitute valid and binding obligations of the Company, enforceable against the Company in accordance with their respective terms, except as such enforceability may be limited by bankruptcy, insolvency, reorganization or similar laws affecting the rights of creditors generally and subject to general principles of equity. The Warrant Shares, when issued in accordance with the terms of the Warrants, will be validly issued, fully paid and nonassessable, free and clear of all Liens imposed by the Company. The Company has reserved from its duly authorized capital stock the maximum number of Shares issuable pursuant to this Agreement and shall reserve from its duly authorized capital stock the maximum number of Warrant Shares issuable pursuant to the Common Warrants.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Capitalization</w:t>
      </w:r>
      <w:r>
        <w:rPr>
          <w:rFonts w:ascii="Times New Roman" w:hAnsi="Times New Roman"/>
          <w:sz w:val="20"/>
        </w:rPr>
        <w:t xml:space="preserve">. The capitalization of the Company as of the date hereof is as set forth on </w:t>
      </w:r>
      <w:r>
        <w:rPr>
          <w:rFonts w:ascii="Times New Roman" w:hAnsi="Times New Roman"/>
          <w:sz w:val="20"/>
          <w:u w:val="single"/>
        </w:rPr>
        <w:t>Schedule 3.1(f</w:t>
      </w:r>
      <w:r>
        <w:rPr>
          <w:rFonts w:ascii="Times New Roman" w:hAnsi="Times New Roman"/>
          <w:sz w:val="20"/>
        </w:rPr>
        <w:t xml:space="preserve">). All of the issued and outstanding shares of capital stock of the Company, including the outstanding shares of Common Stock, are duly authorized and validly issued, fully paid and nonassessable, have been issued in compliance with all federal and state and foreign securities laws, were not issued in violation of or subject to any preemptive rights or other rights to subscribe for or purchase securities that have not been waived in writing, and the holders thereof are not subject to personal liability by reason of being such holders; the capital stock of the Company, including the Common Stock, conforms in all material respects to the description thereof in the SEC Reports. Except as set forth on </w:t>
      </w:r>
      <w:r>
        <w:rPr>
          <w:rFonts w:ascii="Times New Roman" w:hAnsi="Times New Roman"/>
          <w:sz w:val="20"/>
          <w:u w:val="single"/>
        </w:rPr>
        <w:t>Schedule 3.1(f</w:t>
      </w:r>
      <w:r>
        <w:rPr>
          <w:rFonts w:ascii="Times New Roman" w:hAnsi="Times New Roman"/>
          <w:sz w:val="20"/>
        </w:rPr>
        <w:t>), (A) there are no preemptive rights or other rights to subscribe for or to purchase, or any restriction upon the voting or transfer of, any shares of Common Stock pursuant to the Company’s charter, by-laws or any agreement or other instrument to which the Company or any of its subsidiaries is a party or by which the Company or any of its subsidiaries is bound; and (B) neither the filing of the Registration Statement nor the offering or sale of the Securities as contemplated by this Agreement gives rise to any rights for or relating to the registration of any shares of Common Stock or other securities of the Company (collectively “</w:t>
      </w:r>
      <w:r>
        <w:rPr>
          <w:rFonts w:ascii="Times New Roman" w:hAnsi="Times New Roman"/>
          <w:sz w:val="20"/>
          <w:u w:val="single"/>
        </w:rPr>
        <w:t>Registration Rights</w:t>
      </w:r>
      <w:r>
        <w:rPr>
          <w:rFonts w:ascii="Times New Roman" w:hAnsi="Times New Roman"/>
          <w:sz w:val="20"/>
        </w:rPr>
        <w:t xml:space="preserve">”), except as have been validly waived or complied with in connection with the sale of Securities as contemplated by this Agreement. No further approval or authorization of any stockholder, the Board of Directors or others is required for the issuance and sale of the Securities. Except as set forth in the SEC Reports (as defined below), there are no stockholders agreements, voting agreements or other similar agreements with respect to the Company’s capital stock to which the Company is a party or, to the knowledge of the Company, between or among any of the Company’s stockholders.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SEC Reports</w:t>
      </w:r>
      <w:r>
        <w:rPr>
          <w:rFonts w:ascii="Times New Roman" w:hAnsi="Times New Roman"/>
          <w:sz w:val="20"/>
        </w:rPr>
        <w:t xml:space="preserve">. Except as set forth in </w:t>
      </w:r>
      <w:r>
        <w:rPr>
          <w:rFonts w:ascii="Times New Roman" w:hAnsi="Times New Roman"/>
          <w:sz w:val="20"/>
          <w:u w:val="single"/>
        </w:rPr>
        <w:t>Schedule 3.1(g)</w:t>
      </w:r>
      <w:r>
        <w:rPr>
          <w:rFonts w:ascii="Times New Roman" w:hAnsi="Times New Roman"/>
          <w:sz w:val="20"/>
        </w:rPr>
        <w:t>, the Company has filed all reports, schedules, forms, statements and other documents required to be filed by the Company under the Securities Act and the Exchange Act, including pursuant to Section 13(a) or 15(d) thereof, for the two (2) years preceding the date hereof (or such shorter period as the Company was required by law or regulation to file such material) (the foregoing materials, including the exhibits thereto and documents incorporated by reference therein, being collectively referred to herein as the “</w:t>
      </w:r>
      <w:r>
        <w:rPr>
          <w:rFonts w:ascii="Times New Roman" w:hAnsi="Times New Roman"/>
          <w:sz w:val="20"/>
          <w:u w:val="single"/>
        </w:rPr>
        <w:t>SEC Reports</w:t>
      </w:r>
      <w:r>
        <w:rPr>
          <w:rFonts w:ascii="Times New Roman" w:hAnsi="Times New Roman"/>
          <w:sz w:val="20"/>
        </w:rPr>
        <w:t xml:space="preserve">”)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Financial Statements</w:t>
      </w:r>
      <w:r>
        <w:rPr>
          <w:rFonts w:ascii="Times New Roman" w:hAnsi="Times New Roman"/>
          <w:sz w:val="20"/>
        </w:rPr>
        <w:t>. The financial statements of the Company, together with the related notes, set forth or incorporated by reference in the SEC Reports comply in all material respects with the requirements of the Securities Act and the Exchange Act and fairly present the financial condition of the Company and its consolidated subsidiaries as of the dates indicated and the results of operations and changes in cash flows for the periods therein specified in conformity with generally accepted accounting principles in the United States consistently applied throughout the periods involved; the supporting schedules included in the Registration Statement present fairly the information required to be stated therein; all non-GAAP financial information included in the SEC Reports complies with the requirements of Regulation G and Item 10 of Regulation S-K under the Securities Act; and, except as disclosed in the SEC Reports, there are no material off-balance sheet arrangements (as defined in Regulation S-K under the Securities Act, Item 303(a)(4)(ii)) or any other relationships with unconsolidated entities or other persons, that may have a material current effect or, to the Company’s knowledge, material future effect on the Company’s financial condition, results of operations, liquidity, capital expenditures, capital resources or significant components of revenue or expenses. No other financial statements or schedules are required to be included in the SEC Reports. To the Company’s knowledge, the Company’s former independent accounting firm, CBIZ CPAs P.C., (formerly Mayer Hoffman McCann P.C.), which has expressed its opinion with respect to the financial statements and schedules filed as a part of the SEC Reports and included in the SEC Reports is (x) an independent public accounting firm within the meaning of the Securities Act and the Rules and Regulations, (y) a registered public accounting firm (as defined in Section 2(a)(12) of the Sarbanes-Oxley Act of 2002 (the “</w:t>
      </w:r>
      <w:r>
        <w:rPr>
          <w:rFonts w:ascii="Times New Roman" w:hAnsi="Times New Roman"/>
          <w:sz w:val="20"/>
          <w:u w:val="single"/>
        </w:rPr>
        <w:t>Sarbanes-Oxley Act</w:t>
      </w:r>
      <w:r>
        <w:rPr>
          <w:rFonts w:ascii="Times New Roman" w:hAnsi="Times New Roman"/>
          <w:sz w:val="20"/>
        </w:rPr>
        <w:t xml:space="preserve">”)) and (z) not in violation of the auditor independence requirements of the Sarbanes-Oxley Act.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Absence of Certain Events; Undisclosed Events, Liabilities or Developments</w:t>
      </w:r>
      <w:r>
        <w:rPr>
          <w:rFonts w:ascii="Times New Roman" w:hAnsi="Times New Roman"/>
          <w:sz w:val="20"/>
        </w:rPr>
        <w:t xml:space="preserve">. Except as set forth on </w:t>
      </w:r>
      <w:r>
        <w:rPr>
          <w:rFonts w:ascii="Times New Roman" w:hAnsi="Times New Roman"/>
          <w:sz w:val="20"/>
          <w:u w:val="single"/>
        </w:rPr>
        <w:t>Schedule 3.1(i)</w:t>
      </w:r>
      <w:r>
        <w:rPr>
          <w:rFonts w:ascii="Times New Roman" w:hAnsi="Times New Roman"/>
          <w:sz w:val="20"/>
        </w:rPr>
        <w:t xml:space="preserve">, subsequent to the respective dates as of which information is given in the SEC Reports, neither the Company nor any of its subsidiaries has (i) incurred any material liabilities, direct or contingent, other than trade payables and accrued expenses incurred in the ordinary course of business consistent with past practices and liabilities not required to be reflected in the Company’s financial statements pursuant to generally accepted accounting principles or disclosed in filings made with the SEC; (ii) declared or paid any dividends or made any distribution of any kind with respect to its capital stock; (iii) there has not been any change in the capital stock of the Company (other than a change in the number of outstanding shares of Common Stock due to the issuance of shares upon the exercise of outstanding options or warrants, settlement of restricted stock units or conversion of convertible securities); (iv) any issuance of options, warrants, restricted stock units, convertible securities or other rights to purchase the capital stock of the Company or any of its subsidiaries, or (v) any event or development that has had a Material Adverse Effect or any development which could reasonably be expected to result in any Material Adverse Effect. Except for (i) the issuance of the Securities contemplated by this Agreement, or (ii) as set forth on </w:t>
      </w:r>
      <w:r>
        <w:rPr>
          <w:rFonts w:ascii="Times New Roman" w:hAnsi="Times New Roman"/>
          <w:sz w:val="20"/>
          <w:u w:val="single"/>
        </w:rPr>
        <w:t>Schedule 3.1(i)</w:t>
      </w:r>
      <w:r>
        <w:rPr>
          <w:rFonts w:ascii="Times New Roman" w:hAnsi="Times New Roman"/>
          <w:sz w:val="20"/>
        </w:rPr>
        <w:t xml:space="preserve">, no material event, liability, fact, circumstance, occurrence or development has occurred or exists or is reasonably expected to occur or exist with respect to the Company or its Subsidiaries or their respective businesses, prospects, properties, operations, assets or financial condition that would be required to be disclosed by the Company under applicable securities laws at the time this representation is made or deemed made that has not been publicly disclosed prior to the date that this representation is made.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Absence of Proceedings</w:t>
      </w:r>
      <w:r>
        <w:rPr>
          <w:rFonts w:ascii="Times New Roman" w:hAnsi="Times New Roman"/>
          <w:sz w:val="20"/>
        </w:rPr>
        <w:t xml:space="preserve">. Except as set forth on </w:t>
      </w:r>
      <w:r>
        <w:rPr>
          <w:rFonts w:ascii="Times New Roman" w:hAnsi="Times New Roman"/>
          <w:sz w:val="20"/>
          <w:u w:val="single"/>
        </w:rPr>
        <w:t>Schedule 3.1(j)</w:t>
      </w:r>
      <w:r>
        <w:rPr>
          <w:rFonts w:ascii="Times New Roman" w:hAnsi="Times New Roman"/>
          <w:sz w:val="20"/>
        </w:rPr>
        <w:t>, there is not pending or, to the knowledge of the Company, threatened, any action, suit or proceeding (a) to which the Company or any of its subsidiaries is a party or (b) which has as the subject thereof any officer or director of the Company or any subsidiary, any employee benefit plan sponsored by the Company or any subsidiary or any property or assets owned or leased by the Company or any subsidiary before or by any court or Governmental Authority, or any arbitrator (collectively, an “</w:t>
      </w:r>
      <w:r>
        <w:rPr>
          <w:rFonts w:ascii="Times New Roman" w:hAnsi="Times New Roman"/>
          <w:sz w:val="20"/>
          <w:u w:val="single"/>
        </w:rPr>
        <w:t>Action</w:t>
      </w:r>
      <w:r>
        <w:rPr>
          <w:rFonts w:ascii="Times New Roman" w:hAnsi="Times New Roman"/>
          <w:sz w:val="20"/>
        </w:rPr>
        <w:t xml:space="preserve">”), which, individually or in the aggregate, would reasonably be expected to result in any Material Adverse Effect, or would materially and adversely affect the ability of the Company to perform its obligations under the Transaction Documents. There are no current or, to the knowledge of the Company, pending, legal, governmental or regulatory actions, suits or proceedings (x) to which the Company or any of its subsidiaries is subject or (y) which has as the subject thereof any officer or director of the Company or any subsidiary, any employee plan sponsored by the Company or any subsidiary or any property or assets owned or leased by the Company or any subsidiary, that are required to be described in the SEC Reports by the Securities Act or by the Rules and Regulations and that have not been so described in all material respects.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Labor Relations</w:t>
      </w:r>
      <w:r>
        <w:rPr>
          <w:rFonts w:ascii="Times New Roman" w:hAnsi="Times New Roman"/>
          <w:sz w:val="20"/>
        </w:rPr>
        <w:t xml:space="preserve">. No material labor dispute with the employees of the Company or any of its subsidiaries exists or, to the Company’s knowledge, is threatened or imminent, and the Company is not aware of any existing or imminent labor disturbance by the employees of any of its or its subsidiaries’ principal suppliers, contractors or customers, that would reasonably be expected to have a Material Adverse Effect.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Compliance with Environmental Laws</w:t>
      </w:r>
      <w:r>
        <w:rPr>
          <w:rFonts w:ascii="Times New Roman" w:hAnsi="Times New Roman"/>
          <w:sz w:val="20"/>
        </w:rPr>
        <w:t>. Except as disclosed in the SEC Reports, neither the Company nor any of its subsidiaries is (i) in violation of any statute, any rule, regulation, decision or order of any Governmental Authority or any court, domestic or foreign, relating to the use, disposal or release of hazardous or toxic substances or relating to the protection or restoration of the environment or human exposure to hazardous or toxic substances (collectively, “</w:t>
      </w:r>
      <w:r>
        <w:rPr>
          <w:rFonts w:ascii="Times New Roman" w:hAnsi="Times New Roman"/>
          <w:sz w:val="20"/>
          <w:u w:val="single"/>
        </w:rPr>
        <w:t>Environmental Laws</w:t>
      </w:r>
      <w:r>
        <w:rPr>
          <w:rFonts w:ascii="Times New Roman" w:hAnsi="Times New Roman"/>
          <w:sz w:val="20"/>
        </w:rPr>
        <w:t xml:space="preserve">”), (ii) owns or operates any real property contaminated with any substance that is subject to any environmental laws, (iii) is liable for any off-site disposal or contamination pursuant to any Environmental Laws, or (iv) is subject to any claim relating to any Environmental Laws, which violation, contamination, liability or claim would individually or in the aggregate,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Ownership of Assets</w:t>
      </w:r>
      <w:r>
        <w:rPr>
          <w:rFonts w:ascii="Times New Roman" w:hAnsi="Times New Roman"/>
          <w:sz w:val="20"/>
        </w:rPr>
        <w:t xml:space="preserve">. The Company and its subsidiaries have good and marketable title to all property (whether real or personal) described in the SEC Reports as being owned by them which is material to the Company and its subsidiaries taken as a whole, in each case free and clear of all liens, claims, security interests, other encumbrances or defects except such as are described in the SEC Reports or as would not, individually or in the aggregate, be reasonably expected to result in a Material Adverse Effect. The property held under lease by the Company and its subsidiaries is held by them under valid, subsisting and enforceable leases with which the Company and its subsidiaries are in compliance, except where such failure to be in compliance would not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(n) </w:t>
      </w:r>
      <w:r>
        <w:rPr>
          <w:rFonts w:ascii="Times New Roman" w:hAnsi="Times New Roman"/>
          <w:sz w:val="20"/>
          <w:u w:val="single"/>
        </w:rPr>
        <w:t>Intellectual Property</w:t>
      </w:r>
      <w:r>
        <w:rPr>
          <w:rFonts w:ascii="Times New Roman" w:hAnsi="Times New Roman"/>
          <w:sz w:val="20"/>
        </w:rPr>
        <w:t xml:space="preserve"> The Company and each of its subsidiaries owns, possesses, or can acquire on reasonable terms, all Intellectual Property (as defined below) necessary for the conduct of the Company’s and its subsidiaries’ business as now conducted or as described in the SEC Reports to be conducted, except as such failure to own, possess, or acquire such rights would not reasonably be expected to result in a Material Adverse Effect. Furthermore, except as described in the SEC Reports, (A) to the knowledge of the Company after reasonable investigation (“</w:t>
      </w:r>
      <w:r>
        <w:rPr>
          <w:rFonts w:ascii="Times New Roman" w:hAnsi="Times New Roman"/>
          <w:sz w:val="20"/>
          <w:u w:val="single"/>
        </w:rPr>
        <w:t>Knowledge</w:t>
      </w:r>
      <w:r>
        <w:rPr>
          <w:rFonts w:ascii="Times New Roman" w:hAnsi="Times New Roman"/>
          <w:sz w:val="20"/>
        </w:rPr>
        <w:t>”), there is no infringement, misappropriation or violation by third parties of any such Intellectual Property, except as such infringement, misappropriation or violation would not result in a Material Adverse Effect; (B) there is no pending or, to the Knowledge of the Company, threatened, action, suit, proceeding or claim by others challenging the Company’s or any of its subsidiaries’ rights in or to any such Intellectual Property, and the Company is unaware of any objective facts which would form a reasonable basis for any such claim; (C) the Intellectual Property owned by the Company and its subsidiaries, and to the Knowledge of the Company, the Intellectual Property licensed to the Company and its subsidiaries, has not been adjudged invalid or unenforceable, in whole or in part, and there is no pending or, to the Knowledge of the Company, threatened action, suit, proceeding or claim by others challenging the validity or scope of any such Intellectual Property; (D) there is no pending or, to the Knowledge of the Company, threatened action, suit, proceeding or claim by others that the Company or any of its subsidiaries infringes, misappropriates or otherwise violates any Intellectual Property or other proprietary rights of others, and neither the Company or any of its subsidiaries has received any written notice of such claim; and (E) to the Company’s knowledge, no employee of the Company or any of its subsidiaries is in or has ever been in violation of any term of any employment contract, patent disclosure agreement, invention assignment agreement, non-competition agreement, non-solicitation agreement, nondisclosure agreement or any restrictive covenant to or with a former employer where the basis of such violation relates to such employee’s employment with the Company or any of its subsidiaries or actions undertaken by the employee while employed with the Company or any of its subsidiaries, except as such violation would not result in a Material Adverse Effect. “</w:t>
      </w:r>
      <w:r>
        <w:rPr>
          <w:rFonts w:ascii="Times New Roman" w:hAnsi="Times New Roman"/>
          <w:sz w:val="20"/>
          <w:u w:val="single"/>
        </w:rPr>
        <w:t>Intellectual Property</w:t>
      </w:r>
      <w:r>
        <w:rPr>
          <w:rFonts w:ascii="Times New Roman" w:hAnsi="Times New Roman"/>
          <w:sz w:val="20"/>
        </w:rPr>
        <w:t xml:space="preserve">” shall mean all patents, patent applications, trademarks, trademark registrations, service marks, service mark registrations, trade names, copyrights, copyright registrations, licenses, inventions, trade secrets, Internet domain names, Internet domain name registrations, technology, registrations, trade secret rights, know-how and other intellectual property. </w:t>
      </w:r>
    </w:p>
    <w:p>
      <w:pPr>
        <w:pStyle w:val="TextBody"/>
        <w:bidi w:val="0"/>
        <w:spacing w:before="240" w:after="0"/>
        <w:jc w:val="left"/>
        <w:rPr>
          <w:rFonts w:ascii="Times New Roman" w:hAnsi="Times New Roman"/>
          <w:sz w:val="20"/>
        </w:rPr>
      </w:pPr>
      <w:r>
        <w:rPr>
          <w:rFonts w:ascii="Times New Roman" w:hAnsi="Times New Roman"/>
          <w:sz w:val="20"/>
        </w:rPr>
        <w:t xml:space="preserve">(o) </w:t>
      </w:r>
      <w:r>
        <w:rPr>
          <w:rFonts w:ascii="Times New Roman" w:hAnsi="Times New Roman"/>
          <w:sz w:val="20"/>
          <w:u w:val="single"/>
        </w:rPr>
        <w:t>Insurance</w:t>
      </w:r>
      <w:r>
        <w:rPr>
          <w:rFonts w:ascii="Times New Roman" w:hAnsi="Times New Roman"/>
          <w:sz w:val="20"/>
        </w:rPr>
        <w:t xml:space="preserve">. The Company and each of its subsidiaries carries, or is covered by, insurance from insurers of recognized financial responsibility in such amounts and covering such risks as is customary for companies engaged in similar businesses in similar industries; all policies of insurance and any fidelity or surety bonds insuring the Company or any of its subsidiaries or its business, assets, employees, officers and directors are in full force and effect, except as would not have a Material Adverse Effect; the Company and its subsidiaries are in compliance with the terms of such policies and instruments in all material respects; and neither the Company nor any of its subsidiaries has reason to believe that it will not be able to renew its existing insurance coverage as and when such coverage expires or to obtain similar coverage from similar insurers as may be necessary to continue its business at a cost that would not have a Material Adverse Effect.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 </w:t>
      </w:r>
      <w:r>
        <w:rPr>
          <w:rFonts w:ascii="Times New Roman" w:hAnsi="Times New Roman"/>
          <w:sz w:val="20"/>
          <w:u w:val="single"/>
        </w:rPr>
        <w:t>Internal Accounting Controls</w:t>
      </w:r>
      <w:r>
        <w:rPr>
          <w:rFonts w:ascii="Times New Roman" w:hAnsi="Times New Roman"/>
          <w:sz w:val="20"/>
        </w:rPr>
        <w:t>. The Company and its subsidiaries maintain a system of internal accounting controls sufficient to provide reasonable assurances that (i) transactions are executed in accordance with management’s general or specific authorization; (ii) transactions are recorded as necessary to permit preparation of financial statements in conformity with generally accepted accounting principles in the United States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 Since the end of the latest audited fiscal year, there has been no change in the Company’s internal control over financial reporting (whether or not remediated) that has materially affected, or is reasonably likely to materially affect, the Company’s internal control over financial reporting. The Company’s board of directors has, subject to the exceptions, cure periods and the phase in periods specified in the applicable stock exchange rules (“</w:t>
      </w:r>
      <w:r>
        <w:rPr>
          <w:rFonts w:ascii="Times New Roman" w:hAnsi="Times New Roman"/>
          <w:sz w:val="20"/>
          <w:u w:val="single"/>
        </w:rPr>
        <w:t>Exchange Rules</w:t>
      </w:r>
      <w:r>
        <w:rPr>
          <w:rFonts w:ascii="Times New Roman" w:hAnsi="Times New Roman"/>
          <w:sz w:val="20"/>
        </w:rPr>
        <w:t xml:space="preserve">”), validly appointed an audit committee to oversee internal accounting controls whose composition satisfies the applicable requirements of the Exchange Rules and the Company’s board of directors and/or the audit committee has adopted a charter that satisfies the requirements of the Exchange Rules. </w:t>
      </w:r>
    </w:p>
    <w:p>
      <w:pPr>
        <w:pStyle w:val="TextBody"/>
        <w:bidi w:val="0"/>
        <w:spacing w:before="240" w:after="0"/>
        <w:jc w:val="left"/>
        <w:rPr>
          <w:rFonts w:ascii="Times New Roman" w:hAnsi="Times New Roman"/>
          <w:sz w:val="20"/>
        </w:rPr>
      </w:pPr>
      <w:r>
        <w:rPr>
          <w:rFonts w:ascii="Times New Roman" w:hAnsi="Times New Roman"/>
          <w:sz w:val="20"/>
        </w:rPr>
        <w:t xml:space="preserve">(q) </w:t>
      </w:r>
      <w:r>
        <w:rPr>
          <w:rFonts w:ascii="Times New Roman" w:hAnsi="Times New Roman"/>
          <w:sz w:val="20"/>
          <w:u w:val="single"/>
        </w:rPr>
        <w:t>Certain Fees</w:t>
      </w:r>
      <w:r>
        <w:rPr>
          <w:rFonts w:ascii="Times New Roman" w:hAnsi="Times New Roman"/>
          <w:sz w:val="20"/>
        </w:rPr>
        <w:t xml:space="preserve">. Except for fees payable to the Placement Agent, no brokerage or finder’s fees or commissions are or will be payable by the Company or any subsidiary to any broker, financial advisor or consultant, finder, placement agent, investment banker, bank or other Person with respect to the transactions contemplated by the Transaction Documents. Each Purchaser shall have no obligation with respect to any fees or with respect to any claims made by or on behalf of other Persons for fees of a type contemplated in this Section that may be due in connection with the transactions contemplated by the Transaction Documents. </w:t>
      </w:r>
    </w:p>
    <w:p>
      <w:pPr>
        <w:pStyle w:val="TextBody"/>
        <w:bidi w:val="0"/>
        <w:spacing w:before="240" w:after="0"/>
        <w:jc w:val="left"/>
        <w:rPr>
          <w:rFonts w:ascii="Times New Roman" w:hAnsi="Times New Roman"/>
          <w:sz w:val="20"/>
        </w:rPr>
      </w:pPr>
      <w:r>
        <w:rPr>
          <w:rFonts w:ascii="Times New Roman" w:hAnsi="Times New Roman"/>
          <w:sz w:val="20"/>
        </w:rPr>
        <w:t xml:space="preserve">(r) </w:t>
      </w:r>
      <w:r>
        <w:rPr>
          <w:rFonts w:ascii="Times New Roman" w:hAnsi="Times New Roman"/>
          <w:sz w:val="20"/>
          <w:u w:val="single"/>
        </w:rPr>
        <w:t>Investment Company</w:t>
      </w:r>
      <w:r>
        <w:rPr>
          <w:rFonts w:ascii="Times New Roman" w:hAnsi="Times New Roman"/>
          <w:sz w:val="20"/>
        </w:rPr>
        <w:t xml:space="preserve">. The Company is not and, after giving effect to the offering and sale of the Securities, will not be an “investment company,” as such term is defined in the Investment Company Act of 1940, as amended. </w:t>
      </w:r>
    </w:p>
    <w:p>
      <w:pPr>
        <w:pStyle w:val="TextBody"/>
        <w:bidi w:val="0"/>
        <w:spacing w:before="240" w:after="0"/>
        <w:jc w:val="left"/>
        <w:rPr>
          <w:rFonts w:ascii="Times New Roman" w:hAnsi="Times New Roman"/>
          <w:sz w:val="20"/>
        </w:rPr>
      </w:pPr>
      <w:r>
        <w:rPr>
          <w:rFonts w:ascii="Times New Roman" w:hAnsi="Times New Roman"/>
          <w:sz w:val="20"/>
        </w:rPr>
        <w:t xml:space="preserve">(s) </w:t>
      </w:r>
      <w:r>
        <w:rPr>
          <w:rFonts w:ascii="Times New Roman" w:hAnsi="Times New Roman"/>
          <w:sz w:val="20"/>
          <w:u w:val="single"/>
        </w:rPr>
        <w:t>Listing and Maintenance Requirements</w:t>
      </w:r>
      <w:r>
        <w:rPr>
          <w:rFonts w:ascii="Times New Roman" w:hAnsi="Times New Roman"/>
          <w:sz w:val="20"/>
        </w:rPr>
        <w:t xml:space="preserve">. The Common Stock is registered pursuant to Section 12(b) or 12(g) of the Exchange Act, and the Company has taken no action designed to, or which to its knowledge is likely to have the effect of, terminating the registration of the Common Stock under the Exchange Act nor has the Company received any notification that the Commission is contemplating terminating such registration. Except as set forth on </w:t>
      </w:r>
      <w:r>
        <w:rPr>
          <w:rFonts w:ascii="Times New Roman" w:hAnsi="Times New Roman"/>
          <w:sz w:val="20"/>
          <w:u w:val="single"/>
        </w:rPr>
        <w:t>Schedule 3.1(s)</w:t>
      </w:r>
      <w:r>
        <w:rPr>
          <w:rFonts w:ascii="Times New Roman" w:hAnsi="Times New Roman"/>
          <w:sz w:val="20"/>
        </w:rPr>
        <w:t xml:space="preserve">, the Company has not, in the 12 months preceding the date hereof, received notice from any Trading Market on which the Common Stock is or has been listed or quoted to the effect that the Company is not in compliance with the listing or maintenance requirements of such Trading Market. The Company is, and has no reason to believe that it will not in the foreseeable future continue to be, in compliance with all such listing and maintenance requirements, except as set forth on </w:t>
      </w:r>
      <w:r>
        <w:rPr>
          <w:rFonts w:ascii="Times New Roman" w:hAnsi="Times New Roman"/>
          <w:sz w:val="20"/>
          <w:u w:val="single"/>
        </w:rPr>
        <w:t>Schedule 3.1(s)</w:t>
      </w:r>
      <w:r>
        <w:rPr>
          <w:rFonts w:ascii="Times New Roman" w:hAnsi="Times New Roman"/>
          <w:sz w:val="20"/>
        </w:rPr>
        <w:t xml:space="preserve">. The Common Stock is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 </w:t>
      </w:r>
    </w:p>
    <w:p>
      <w:pPr>
        <w:pStyle w:val="TextBody"/>
        <w:bidi w:val="0"/>
        <w:spacing w:before="240" w:after="0"/>
        <w:jc w:val="left"/>
        <w:rPr>
          <w:rFonts w:ascii="Times New Roman" w:hAnsi="Times New Roman"/>
          <w:sz w:val="20"/>
        </w:rPr>
      </w:pPr>
      <w:r>
        <w:rPr>
          <w:rFonts w:ascii="Times New Roman" w:hAnsi="Times New Roman"/>
          <w:sz w:val="20"/>
        </w:rPr>
        <w:t xml:space="preserve">(t) </w:t>
      </w:r>
      <w:r>
        <w:rPr>
          <w:rFonts w:ascii="Times New Roman" w:hAnsi="Times New Roman"/>
          <w:sz w:val="20"/>
          <w:u w:val="single"/>
        </w:rPr>
        <w:t>Application of Takeover Protections</w:t>
      </w:r>
      <w:r>
        <w:rPr>
          <w:rFonts w:ascii="Times New Roman" w:hAnsi="Times New Roman"/>
          <w:sz w:val="20"/>
        </w:rPr>
        <w:t xml:space="preserve">. The Company and the Board of Directors have taken all necessary action, if any, in order to render inapplicable any control share acquisition, business combination or other similar anti-takeover provision under the Company’s certificate of incorporation (or similar charter documents) or the laws of its state of incorporation that is or could become applicable to each Purchaser as a result of each Purchaser and the Company fulfilling their obligations or exercising their rights under the Transaction Documents, including without limitation as a result of the Company’s issuance of the Securities and the Purchaser’s ownership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(u) </w:t>
      </w:r>
      <w:r>
        <w:rPr>
          <w:rFonts w:ascii="Times New Roman" w:hAnsi="Times New Roman"/>
          <w:sz w:val="20"/>
          <w:u w:val="single"/>
        </w:rPr>
        <w:t>Disclosure</w:t>
      </w:r>
      <w:r>
        <w:rPr>
          <w:rFonts w:ascii="Times New Roman" w:hAnsi="Times New Roman"/>
          <w:sz w:val="20"/>
        </w:rPr>
        <w:t xml:space="preserve">. Except with respect to the material terms and conditions of the transactions contemplated by the Transaction Documents, the Company confirms that neither it nor any other Person acting on its behalf has provided to each Purchaser or its agents or counsel with any information that it believes constitutes or might constitute material, non-public information which is not otherwise disclosed in the SEC Reports. The Company understands and confirms that each Purchaser will rely on the foregoing representation in effecting transactions in securities of the Company. All of the disclosure furnished by or on behalf of the Company to each Purchaser regarding the Company and its subsidiaries, their respective businesses and the transactions contemplated hereby, including the Disclosure Schedules to this Agreement, when taken together as a whole, is true and correct and does not contain any untrue statement of a material fact or omit to state any material fact necessary in order to make the statements made therein, in the light of the circumstances under which they were made, not misleading. The Company acknowledges and agrees that no Purchaser makes or has made any representations or warranties with respect to the transactions contemplated hereby other than those specifically set forth in </w:t>
      </w:r>
      <w:r>
        <w:rPr>
          <w:rFonts w:ascii="Times New Roman" w:hAnsi="Times New Roman"/>
          <w:sz w:val="20"/>
          <w:u w:val="single"/>
        </w:rPr>
        <w:t>Section 3.2</w:t>
      </w:r>
      <w:r>
        <w:rPr>
          <w:rFonts w:ascii="Times New Roman" w:hAnsi="Times New Roman"/>
          <w:sz w:val="20"/>
        </w:rPr>
        <w:t xml:space="preserve"> hereof.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 </w:t>
      </w:r>
      <w:r>
        <w:rPr>
          <w:rFonts w:ascii="Times New Roman" w:hAnsi="Times New Roman"/>
          <w:sz w:val="20"/>
          <w:u w:val="single"/>
        </w:rPr>
        <w:t>No Integrated Offering</w:t>
      </w:r>
      <w:r>
        <w:rPr>
          <w:rFonts w:ascii="Times New Roman" w:hAnsi="Times New Roman"/>
          <w:sz w:val="20"/>
        </w:rPr>
        <w:t xml:space="preserve">. Assuming the accuracy of the Purchaser’s representations and warranties set forth in </w:t>
      </w:r>
      <w:r>
        <w:rPr>
          <w:rFonts w:ascii="Times New Roman" w:hAnsi="Times New Roman"/>
          <w:sz w:val="20"/>
          <w:u w:val="single"/>
        </w:rPr>
        <w:t>Section 3.2</w:t>
      </w:r>
      <w:r>
        <w:rPr>
          <w:rFonts w:ascii="Times New Roman" w:hAnsi="Times New Roman"/>
          <w:sz w:val="20"/>
        </w:rPr>
        <w:t xml:space="preserve">, neither the Company, nor any of its Affiliates, nor any Person acting on its or their behalf has, directly or indirectly, made any offers or sales of any security or solicited any offers to buy any security, under circumstances that would cause this offering of the Securities to be integrated with prior offerings by the Company for purposes of any applicable shareholder approval provisions of any Trading Market on which any of the securities of the Company are listed or designated. </w:t>
      </w:r>
    </w:p>
    <w:p>
      <w:pPr>
        <w:pStyle w:val="TextBody"/>
        <w:bidi w:val="0"/>
        <w:spacing w:before="240" w:after="0"/>
        <w:jc w:val="left"/>
        <w:rPr>
          <w:rFonts w:ascii="Times New Roman" w:hAnsi="Times New Roman"/>
          <w:sz w:val="20"/>
        </w:rPr>
      </w:pPr>
      <w:r>
        <w:rPr>
          <w:rFonts w:ascii="Times New Roman" w:hAnsi="Times New Roman"/>
          <w:sz w:val="20"/>
        </w:rPr>
        <w:t xml:space="preserve">(w) </w:t>
      </w:r>
      <w:r>
        <w:rPr>
          <w:rFonts w:ascii="Times New Roman" w:hAnsi="Times New Roman"/>
          <w:sz w:val="20"/>
          <w:u w:val="single"/>
        </w:rPr>
        <w:t>Private Placement</w:t>
      </w:r>
      <w:r>
        <w:rPr>
          <w:rFonts w:ascii="Times New Roman" w:hAnsi="Times New Roman"/>
          <w:sz w:val="20"/>
        </w:rPr>
        <w:t xml:space="preserve">. Assuming the accuracy of the Purchaser’s representations and warranties set forth in </w:t>
      </w:r>
      <w:r>
        <w:rPr>
          <w:rFonts w:ascii="Times New Roman" w:hAnsi="Times New Roman"/>
          <w:sz w:val="20"/>
          <w:u w:val="single"/>
        </w:rPr>
        <w:t>Section 3.2</w:t>
      </w:r>
      <w:r>
        <w:rPr>
          <w:rFonts w:ascii="Times New Roman" w:hAnsi="Times New Roman"/>
          <w:sz w:val="20"/>
        </w:rPr>
        <w:t xml:space="preserve">, no registration under the Securities Act is required for the offer and sale of the Securities by the Company to the Purchasers as contemplated hereby. The issuance and sale of the Securities hereunder does not contravene the rules and regulations of the Trading Market. </w:t>
      </w:r>
    </w:p>
    <w:p>
      <w:pPr>
        <w:pStyle w:val="TextBody"/>
        <w:bidi w:val="0"/>
        <w:spacing w:before="240" w:after="0"/>
        <w:jc w:val="left"/>
        <w:rPr>
          <w:rFonts w:ascii="Times New Roman" w:hAnsi="Times New Roman"/>
          <w:sz w:val="20"/>
        </w:rPr>
      </w:pPr>
      <w:r>
        <w:rPr>
          <w:rFonts w:ascii="Times New Roman" w:hAnsi="Times New Roman"/>
          <w:sz w:val="20"/>
        </w:rPr>
        <w:t xml:space="preserve">(x) </w:t>
      </w:r>
      <w:r>
        <w:rPr>
          <w:rFonts w:ascii="Times New Roman" w:hAnsi="Times New Roman"/>
          <w:sz w:val="20"/>
          <w:u w:val="single"/>
        </w:rPr>
        <w:t>No General Solicitation</w:t>
      </w:r>
      <w:r>
        <w:rPr>
          <w:rFonts w:ascii="Times New Roman" w:hAnsi="Times New Roman"/>
          <w:sz w:val="20"/>
        </w:rPr>
        <w:t xml:space="preserve">. Neither the Company nor any Person acting on behalf of the Company has offered or sold any of the Securities by any form of general solicitation or general advertising. The Company has offered the Securities for sale only to the Purchasers and certain other “accredited investors” within the meaning of Rule 501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(y)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(z) </w:t>
      </w:r>
      <w:r>
        <w:rPr>
          <w:rFonts w:ascii="Times New Roman" w:hAnsi="Times New Roman"/>
          <w:sz w:val="20"/>
          <w:u w:val="single"/>
        </w:rPr>
        <w:t>Tax Status</w:t>
      </w:r>
      <w:r>
        <w:rPr>
          <w:rFonts w:ascii="Times New Roman" w:hAnsi="Times New Roman"/>
          <w:sz w:val="20"/>
        </w:rPr>
        <w:t xml:space="preserve">. The Company and its subsidiaries (A) have timely filed all federal, state, local and foreign income and franchise tax returns required to be filed and (B) are not in default in the payment of any taxes which were payable pursuant to said returns or any assessments with respect thereto, other than any which the Company or any of its subsidiaries is contesting in good faith; except those, in each of the cases described in clauses (A) and (B) of this paragraph (z), that would not, singularly or in the aggregate, reasonably be expected to have a Material Adverse Effect. There is no pending material dispute with any taxing authority relating to any of such returns, and the Company has no knowledge of any proposed material liability for any tax to be imposed upon the properties or assets of the Company for which there is not an adequate reserve reflected in the Company’s financial statements included in the SEC Reports. </w:t>
      </w:r>
    </w:p>
    <w:p>
      <w:pPr>
        <w:pStyle w:val="TextBody"/>
        <w:bidi w:val="0"/>
        <w:spacing w:before="240" w:after="0"/>
        <w:jc w:val="left"/>
        <w:rPr>
          <w:rFonts w:ascii="Times New Roman" w:hAnsi="Times New Roman"/>
          <w:sz w:val="20"/>
        </w:rPr>
      </w:pPr>
      <w:r>
        <w:rPr>
          <w:rFonts w:ascii="Times New Roman" w:hAnsi="Times New Roman"/>
          <w:sz w:val="20"/>
        </w:rPr>
        <w:t xml:space="preserve">(aa) </w:t>
      </w:r>
      <w:r>
        <w:rPr>
          <w:rFonts w:ascii="Times New Roman" w:hAnsi="Times New Roman"/>
          <w:sz w:val="20"/>
          <w:u w:val="single"/>
        </w:rPr>
        <w:t>Anti-Bribery and Anti-Money Laundering Laws</w:t>
      </w:r>
      <w:r>
        <w:rPr>
          <w:rFonts w:ascii="Times New Roman" w:hAnsi="Times New Roman"/>
          <w:sz w:val="20"/>
        </w:rPr>
        <w:t>. Each of the Company, its subsidiaries, its affiliates and any of their respective officers, directors, supervisors, managers, agents, or employees, each in their respective roles with the Company, has not violated, its participation in the offering will not violate, and the Company and each of its subsidiaries has instituted and maintains policies and procedures designed to ensure continued compliance in all material respects with, each of the following laws: anti-bribery laws, including but not limited to, any applicable law, rule, or regulation of any locality in which the Company does business, including but not limited to any applicable law, rule, or regulation promulgated to implement the OECD Convention on Combating Bribery of Foreign Public Officials in International Business Transactions, signed December 17, 1997, including the U.S. Foreign Corrupt Practices Act of 1977 (the “</w:t>
      </w:r>
      <w:r>
        <w:rPr>
          <w:rFonts w:ascii="Times New Roman" w:hAnsi="Times New Roman"/>
          <w:sz w:val="20"/>
          <w:u w:val="single"/>
        </w:rPr>
        <w:t>FCPA</w:t>
      </w:r>
      <w:r>
        <w:rPr>
          <w:rFonts w:ascii="Times New Roman" w:hAnsi="Times New Roman"/>
          <w:sz w:val="20"/>
        </w:rPr>
        <w:t xml:space="preserve">”), as amended, the U.K. Bribery Act 2010 (to the extent applicable), or any other applicable law, rule or regulation of similar purposes and scope, or anti-money laundering laws, including but not limited to, applicable federal, state, international, foreign or other laws, regulations or government guidance regarding anti-money laundering, including, without limitation, Title 18 US. Code section 1956 and 1957, the Patriot Act, the Bank Secrecy Act, and international anti-money laundering principles or procedures by an intergovernmental group or organization, such as the Financial Action Task Force on Money Laundering, of which the United States is a member and with which designation the United States representative to the group or organization continues to concur, all as amended, and any executive order, directive, or regulation pursuant to the authority of any of the foregoing, or any orders or licenses issued thereunder. </w:t>
      </w:r>
    </w:p>
    <w:p>
      <w:pPr>
        <w:pStyle w:val="TextBody"/>
        <w:bidi w:val="0"/>
        <w:spacing w:before="240" w:after="0"/>
        <w:jc w:val="left"/>
        <w:rPr>
          <w:rFonts w:ascii="Times New Roman" w:hAnsi="Times New Roman"/>
          <w:sz w:val="20"/>
        </w:rPr>
      </w:pPr>
      <w:r>
        <w:rPr>
          <w:rFonts w:ascii="Times New Roman" w:hAnsi="Times New Roman"/>
          <w:sz w:val="20"/>
        </w:rPr>
        <w:t xml:space="preserve">(bb) </w:t>
      </w:r>
      <w:r>
        <w:rPr>
          <w:rFonts w:ascii="Times New Roman" w:hAnsi="Times New Roman"/>
          <w:sz w:val="20"/>
          <w:u w:val="single"/>
        </w:rPr>
        <w:t>Acknowledgment Regarding Purchaser’s Purchase of Securities</w:t>
      </w:r>
      <w:r>
        <w:rPr>
          <w:rFonts w:ascii="Times New Roman" w:hAnsi="Times New Roman"/>
          <w:sz w:val="20"/>
        </w:rPr>
        <w:t xml:space="preserve">. The Company acknowledges and agrees that each Purchaser is acting solely in the capacity of an arm’s length purchaser with respect to the Transaction Documents and the transactions contemplated thereby. The Company further acknowledges that each Purchaser is not acting as a financial advisor or fiduciary of the Company (or in any similar capacity) with respect to the Transaction Documents and the transactions contemplated thereby and any advice given by each Purchaser or any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its respective representatives or agents in connection with the Transaction Documents and the transactions contemplated thereby is merely incidental to the Purchaser’s purchase of the Securities. The Company further represents to each Purchaser that the Company’s decision to enter into this Agreement and the other Transaction Documents has been based solely on the independent evaluation of the transactions contemplated hereby by the Company and its representatives. </w:t>
      </w:r>
    </w:p>
    <w:p>
      <w:pPr>
        <w:pStyle w:val="TextBody"/>
        <w:bidi w:val="0"/>
        <w:spacing w:before="240" w:after="0"/>
        <w:jc w:val="left"/>
        <w:rPr>
          <w:rFonts w:ascii="Times New Roman" w:hAnsi="Times New Roman"/>
          <w:sz w:val="20"/>
        </w:rPr>
      </w:pPr>
      <w:r>
        <w:rPr>
          <w:rFonts w:ascii="Times New Roman" w:hAnsi="Times New Roman"/>
          <w:sz w:val="20"/>
        </w:rPr>
        <w:t xml:space="preserve">(cc) </w:t>
      </w:r>
      <w:r>
        <w:rPr>
          <w:rFonts w:ascii="Times New Roman" w:hAnsi="Times New Roman"/>
          <w:sz w:val="20"/>
          <w:u w:val="single"/>
        </w:rPr>
        <w:t>Acknowledgment Regarding Purchaser’s Trading Activity</w:t>
      </w:r>
      <w:r>
        <w:rPr>
          <w:rFonts w:ascii="Times New Roman" w:hAnsi="Times New Roman"/>
          <w:sz w:val="20"/>
        </w:rPr>
        <w:t xml:space="preserve">. Anything in this Agreement or elsewhere herein to the contrary notwithstanding (except for </w:t>
      </w:r>
      <w:r>
        <w:rPr>
          <w:rFonts w:ascii="Times New Roman" w:hAnsi="Times New Roman"/>
          <w:sz w:val="20"/>
          <w:u w:val="single"/>
        </w:rPr>
        <w:t>Sections 3.2(f)</w:t>
      </w:r>
      <w:r>
        <w:rPr>
          <w:rFonts w:ascii="Times New Roman" w:hAnsi="Times New Roman"/>
          <w:sz w:val="20"/>
        </w:rPr>
        <w:t xml:space="preserve"> and</w:t>
      </w:r>
      <w:r>
        <w:rPr>
          <w:rFonts w:ascii="Times New Roman" w:hAnsi="Times New Roman"/>
          <w:sz w:val="20"/>
          <w:u w:val="single"/>
        </w:rPr>
        <w:t xml:space="preserve"> 4.14</w:t>
      </w:r>
      <w:r>
        <w:rPr>
          <w:rFonts w:ascii="Times New Roman" w:hAnsi="Times New Roman"/>
          <w:sz w:val="20"/>
        </w:rPr>
        <w:t xml:space="preserve"> hereof), it is understood and acknowledged by the Company that: (i) each Purchaser has not been asked by the Company to agree, nor has each Purchaser agreed, to desist from purchasing or selling, long and/or short, securities of the Company, or “derivative” securities based on securities issued by the Company or to hold the Securities for any specified term; (ii) past or future open market or other transactions by the Purchaser, specifically including, without limitation, Short Sales or “derivative” transactions, before or after the closing of this or future private placement transactions, may negatively impact the market price of the Company’s publicly-traded securities; (iii) the Purchaser, and counter-parties in “derivative” transactions, if any, to which each Purchaser is a party, directly or indirectly, presently may have a “short” position in the Common Stock, and (iv) each Purchaser shall not be deemed to have any affiliation with or control over any arm’s length counter-party in any “derivative” transaction. The Company further understands and acknowledges that (y) each Purchaser may engage in hedging activities at various times during the period that the Securities are outstanding, and (z) such hedging activities (if any) could reduce the value of the existing stockholders’ equity interests in the Company at and after the time that the hedging activities are being conducted. The Company acknowledges that such aforementioned hedging activities do not constitute a breach of any of the Transaction Documents. </w:t>
      </w:r>
    </w:p>
    <w:p>
      <w:pPr>
        <w:pStyle w:val="TextBody"/>
        <w:bidi w:val="0"/>
        <w:spacing w:before="240" w:after="0"/>
        <w:jc w:val="left"/>
        <w:rPr>
          <w:rFonts w:ascii="Times New Roman" w:hAnsi="Times New Roman"/>
          <w:sz w:val="20"/>
        </w:rPr>
      </w:pPr>
      <w:r>
        <w:rPr>
          <w:rFonts w:ascii="Times New Roman" w:hAnsi="Times New Roman"/>
          <w:sz w:val="20"/>
        </w:rPr>
        <w:t xml:space="preserve">(dd) </w:t>
      </w:r>
      <w:r>
        <w:rPr>
          <w:rFonts w:ascii="Times New Roman" w:hAnsi="Times New Roman"/>
          <w:sz w:val="20"/>
          <w:u w:val="single"/>
        </w:rPr>
        <w:t>Regulation M Compliance</w:t>
      </w:r>
      <w:r>
        <w:rPr>
          <w:rFonts w:ascii="Times New Roman" w:hAnsi="Times New Roman"/>
          <w:sz w:val="20"/>
        </w:rPr>
        <w:t xml:space="preserve">. The Company has not, and to its knowledge no one acting on its behalf has, (i) taken, directly or indirectly, any action designed to cause or to result in the stabilization or manipulation of the price of any security of the Company to facilitate the sale or resale of any of the Securities, (ii) sold, bid for, purchased, or, paid any compensation for soliciting purchases of, any of the Securities, or (iii) paid or agreed to pay to any Person any compensation for soliciting another to purchase any other securities of the Company, other than, in the case of clauses (ii) and (iii), compensation paid to the Placement Agent in connection with the placement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(ee) </w:t>
      </w:r>
      <w:r>
        <w:rPr>
          <w:rFonts w:ascii="Times New Roman" w:hAnsi="Times New Roman"/>
          <w:sz w:val="20"/>
          <w:u w:val="single"/>
        </w:rPr>
        <w:t>Cybersecurity</w:t>
      </w:r>
      <w:r>
        <w:rPr>
          <w:rFonts w:ascii="Times New Roman" w:hAnsi="Times New Roman"/>
          <w:sz w:val="20"/>
        </w:rPr>
        <w:t>. Except as would not, individually or in the aggregate, have a Material Adverse Effect, (i) the Company and its subsidiaries are presently in compliance with all applicable laws or statutes and all judgments, orders, rules and regulations of any court or arbitrator or governmental or regulatory authority, internal policies and contractual obligations relating to the privacy and security of the Company’s or any of its subsidiaries’ information technology and computer systems, networks, hardware, software, data (including the data of its respective customers, employees, suppliers, vendors and any third party data maintained by or on behalf of it), equipment or technology (collectively, “</w:t>
      </w:r>
      <w:r>
        <w:rPr>
          <w:rFonts w:ascii="Times New Roman" w:hAnsi="Times New Roman"/>
          <w:sz w:val="20"/>
          <w:u w:val="single"/>
        </w:rPr>
        <w:t>IT Systems and Data</w:t>
      </w:r>
      <w:r>
        <w:rPr>
          <w:rFonts w:ascii="Times New Roman" w:hAnsi="Times New Roman"/>
          <w:sz w:val="20"/>
        </w:rPr>
        <w:t xml:space="preserve">”) and to the protection of such IT Systems and Data from unauthorized use, access, misappropriation or modification; (ii) the Company and its subsidiaries have implemented and maintained commercially reasonable safeguards to maintain and protect its material confidential information and the integrity, continuous operation, redundancy and security of all IT Systems and Data; and (iii) the Company and its subsidiaries have implemented backup and disaster recovery technology consistent with commercially reasonable industry standards and practices. </w:t>
      </w:r>
    </w:p>
    <w:p>
      <w:pPr>
        <w:pStyle w:val="TextBody"/>
        <w:bidi w:val="0"/>
        <w:spacing w:before="240" w:after="0"/>
        <w:jc w:val="left"/>
        <w:rPr>
          <w:rFonts w:ascii="Times New Roman" w:hAnsi="Times New Roman"/>
          <w:sz w:val="20"/>
        </w:rPr>
      </w:pPr>
      <w:r>
        <w:rPr>
          <w:rFonts w:ascii="Times New Roman" w:hAnsi="Times New Roman"/>
          <w:sz w:val="20"/>
        </w:rPr>
        <w:t xml:space="preserve">(ff) </w:t>
      </w:r>
      <w:r>
        <w:rPr>
          <w:rFonts w:ascii="Times New Roman" w:hAnsi="Times New Roman"/>
          <w:sz w:val="20"/>
          <w:u w:val="single"/>
        </w:rPr>
        <w:t>Stock Option Plans</w:t>
      </w:r>
      <w:r>
        <w:rPr>
          <w:rFonts w:ascii="Times New Roman" w:hAnsi="Times New Roman"/>
          <w:sz w:val="20"/>
        </w:rPr>
        <w:t>. Except as described in the SEC Reports, there are no options, warrants, restricted stock units, agreements, contracts or other rights in existence to purchase or acquire from the Company or any subsidiary of the Company any shares of the capital stock of the Company or any subsidiary of the Company. The description of the Company’s stock option, stock bonus and other stock plans or arrangements (the “</w:t>
      </w:r>
      <w:r>
        <w:rPr>
          <w:rFonts w:ascii="Times New Roman" w:hAnsi="Times New Roman"/>
          <w:sz w:val="20"/>
          <w:u w:val="single"/>
        </w:rPr>
        <w:t>Company Stock Plans</w:t>
      </w:r>
      <w:r>
        <w:rPr>
          <w:rFonts w:ascii="Times New Roman" w:hAnsi="Times New Roman"/>
          <w:sz w:val="20"/>
        </w:rPr>
        <w:t>”), and the options (the “</w:t>
      </w:r>
      <w:r>
        <w:rPr>
          <w:rFonts w:ascii="Times New Roman" w:hAnsi="Times New Roman"/>
          <w:sz w:val="20"/>
          <w:u w:val="single"/>
        </w:rPr>
        <w:t>Options</w:t>
      </w:r>
      <w:r>
        <w:rPr>
          <w:rFonts w:ascii="Times New Roman" w:hAnsi="Times New Roman"/>
          <w:sz w:val="20"/>
        </w:rPr>
        <w:t xml:space="preserve">”) or other rights granted thereunder, set forth in the SEC Reports accurately and fairly presents the information required to be shown with respect to such plans, arrangements, options and rights. Each grant of an Option (A) was duly authorized no later than the date on which the grant of such Option was by its terms to be effective by all necessary corporate action, including, as applicable, approval by the board of directors of the Company (or a duly constituted and authorized committee thereof) and any required shareholder approval by the necessary number of votes or written consents, and the award agreement governing such grant (if any) was duly executed and delivered by each party thereto and (B) was made in accordance in all material respects with the terms of the applicable Company Stock Plan, and all applicable laws and regulatory rules or requirements, including all applicable federal securities laws.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(gg) </w:t>
      </w:r>
      <w:r>
        <w:rPr>
          <w:rFonts w:ascii="Times New Roman" w:hAnsi="Times New Roman"/>
          <w:sz w:val="20"/>
          <w:u w:val="single"/>
        </w:rPr>
        <w:t>Office of Foreign Assets Control</w:t>
      </w:r>
      <w:r>
        <w:rPr>
          <w:rFonts w:ascii="Times New Roman" w:hAnsi="Times New Roman"/>
          <w:sz w:val="20"/>
        </w:rPr>
        <w:t>. Neither the Company nor any subsidiary nor, to the Company’s knowledge, any director, officer, agent, employee or affiliate of the Company or any subsidiary is currently subject to any U.S. sanctions administered by the Office of Foreign Assets Control of the U.S. Treasury Department (“</w:t>
      </w:r>
      <w:r>
        <w:rPr>
          <w:rFonts w:ascii="Times New Roman" w:hAnsi="Times New Roman"/>
          <w:sz w:val="20"/>
          <w:u w:val="single"/>
        </w:rPr>
        <w:t>OFAC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(hh) </w:t>
      </w:r>
      <w:r>
        <w:rPr>
          <w:rFonts w:ascii="Times New Roman" w:hAnsi="Times New Roman"/>
          <w:sz w:val="20"/>
          <w:u w:val="single"/>
        </w:rPr>
        <w:t>U.S. Real Property Holding Corporation</w:t>
      </w:r>
      <w:r>
        <w:rPr>
          <w:rFonts w:ascii="Times New Roman" w:hAnsi="Times New Roman"/>
          <w:sz w:val="20"/>
        </w:rPr>
        <w:t xml:space="preserve">. The Company is not and has never been a U.S. real property holding corporation within the meaning of Section 897 of the Internal Revenue Code of 1986, as amended, and the Company shall so certify upon a Purchaser’s request. </w:t>
      </w:r>
    </w:p>
    <w:p>
      <w:pPr>
        <w:pStyle w:val="TextBody"/>
        <w:bidi w:val="0"/>
        <w:spacing w:before="24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Bank Holding Company Act</w:t>
      </w:r>
      <w:r>
        <w:rPr>
          <w:rFonts w:ascii="Times New Roman" w:hAnsi="Times New Roman"/>
          <w:sz w:val="20"/>
        </w:rPr>
        <w:t>. Neither the Company nor any of its subsidiaries or Affiliates is subject to the Bank Holding Company Act of 1956, as amended (the “</w:t>
      </w:r>
      <w:r>
        <w:rPr>
          <w:rFonts w:ascii="Times New Roman" w:hAnsi="Times New Roman"/>
          <w:sz w:val="20"/>
          <w:u w:val="single"/>
        </w:rPr>
        <w:t>BHCA</w:t>
      </w:r>
      <w:r>
        <w:rPr>
          <w:rFonts w:ascii="Times New Roman" w:hAnsi="Times New Roman"/>
          <w:sz w:val="20"/>
        </w:rPr>
        <w:t>”) and to regulation by the Board of Governors of the Federal Reserve System (the “</w:t>
      </w:r>
      <w:r>
        <w:rPr>
          <w:rFonts w:ascii="Times New Roman" w:hAnsi="Times New Roman"/>
          <w:sz w:val="20"/>
          <w:u w:val="single"/>
        </w:rPr>
        <w:t>Federal Reserve</w:t>
      </w:r>
      <w:r>
        <w:rPr>
          <w:rFonts w:ascii="Times New Roman" w:hAnsi="Times New Roman"/>
          <w:sz w:val="20"/>
        </w:rPr>
        <w:t xml:space="preserve">”). Neither the Company nor any of its subsidiaries or Affiliates owns or controls, directly or indirectly, five percent (5%) or more of the outstanding shares of any class of voting securities or twenty-five percent (25%)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 </w:t>
      </w:r>
    </w:p>
    <w:p>
      <w:pPr>
        <w:pStyle w:val="TextBody"/>
        <w:bidi w:val="0"/>
        <w:spacing w:before="240" w:after="0"/>
        <w:jc w:val="left"/>
        <w:rPr>
          <w:rFonts w:ascii="Times New Roman" w:hAnsi="Times New Roman"/>
          <w:sz w:val="20"/>
        </w:rPr>
      </w:pPr>
      <w:r>
        <w:rPr>
          <w:rFonts w:ascii="Times New Roman" w:hAnsi="Times New Roman"/>
          <w:sz w:val="20"/>
        </w:rPr>
        <w:t xml:space="preserve">(jj) </w:t>
      </w:r>
      <w:r>
        <w:rPr>
          <w:rFonts w:ascii="Times New Roman" w:hAnsi="Times New Roman"/>
          <w:sz w:val="20"/>
          <w:u w:val="single"/>
        </w:rPr>
        <w:t>Regulatory</w:t>
      </w:r>
      <w:r>
        <w:rPr>
          <w:rFonts w:ascii="Times New Roman" w:hAnsi="Times New Roman"/>
          <w:sz w:val="20"/>
        </w:rPr>
        <w:t>. Except as described in the SEC Reports and on Schedule 3.1(jj), the Company and its subsidiaries (i) are and at all times have been in material compliance with all statutes, rules and regulations applicable to the Company including, without limitation, the federal Anti-Kickback Statute (42 U.S.C. § 1320a-7b(b)), the regulations promulgated pursuant to such laws, and any successor government programs and comparable state laws, and all other local, state, federal, national, supranational and foreign laws, manual provisions, policies and administrative guidance relating to the regulation of the Company (collectively, the “</w:t>
      </w:r>
      <w:r>
        <w:rPr>
          <w:rFonts w:ascii="Times New Roman" w:hAnsi="Times New Roman"/>
          <w:sz w:val="20"/>
          <w:u w:val="single"/>
        </w:rPr>
        <w:t>Applicable Laws</w:t>
      </w:r>
      <w:r>
        <w:rPr>
          <w:rFonts w:ascii="Times New Roman" w:hAnsi="Times New Roman"/>
          <w:sz w:val="20"/>
        </w:rPr>
        <w:t>”); (ii) have not received any notice from any court or arbitrator or governmental or regulatory authority or third party alleging or asserting noncompliance with any Applicable Laws or any licenses, exemptions, certificates, approvals, clearances, authorizations, permits, registrations and supplements or amendments thereto required by any such Applicable Laws (“</w:t>
      </w:r>
      <w:r>
        <w:rPr>
          <w:rFonts w:ascii="Times New Roman" w:hAnsi="Times New Roman"/>
          <w:sz w:val="20"/>
          <w:u w:val="single"/>
        </w:rPr>
        <w:t>Authorizations</w:t>
      </w:r>
      <w:r>
        <w:rPr>
          <w:rFonts w:ascii="Times New Roman" w:hAnsi="Times New Roman"/>
          <w:sz w:val="20"/>
        </w:rPr>
        <w:t xml:space="preserve">”); (iii) possess all material Authorizations and such Authorizations are valid and in full force and effect and are not in violation of any term of any such Authorizations; (iv) have not received written notice of any claim, action, suit, proceeding, hearing, enforcement, investigation arbitration or other action from any court or arbitrator or governmental or regulatory authority or third party alleging that any product operation or activity is in violation of any Applicable Laws or Authorizations nor is any such claim, action, suit, proceeding, hearing, enforcement, investigation, arbitration or other action threatened; (v) have not received any written notice that any court or arbitrator or governmental or regulatory authority has taken, is taking or intends to take, action to limit, suspend, materially modify or revoke any Authorizations nor is any such limitation, suspension, modification or revocation threatened; (vi) have filed, obtained, maintained or submitted all material reports, documents, forms, notices, applications, records, claims, submissions and supplements or amendments as required by any Applicable Laws or Authorizations and that all such reports, documents, forms, notices, applications, records, claims, submissions and supplements or amendments were complete and accurate on the date filed (or were corrected or supplemented by a subsequent submission); and (vii) are not a party to any corporate integrity agreements, monitoring agreements, consent decrees, settlement orders, or similar agreements with or imposed by any governmental or regulatory authority. </w:t>
      </w:r>
    </w:p>
    <w:p>
      <w:pPr>
        <w:pStyle w:val="TextBody"/>
        <w:bidi w:val="0"/>
        <w:spacing w:before="240" w:after="0"/>
        <w:jc w:val="left"/>
        <w:rPr>
          <w:rFonts w:ascii="Times New Roman" w:hAnsi="Times New Roman"/>
          <w:sz w:val="20"/>
        </w:rPr>
      </w:pPr>
      <w:r>
        <w:rPr>
          <w:rFonts w:ascii="Times New Roman" w:hAnsi="Times New Roman"/>
          <w:sz w:val="20"/>
        </w:rPr>
        <w:t xml:space="preserve">(kk) </w:t>
      </w:r>
      <w:r>
        <w:rPr>
          <w:rFonts w:ascii="Times New Roman" w:hAnsi="Times New Roman"/>
          <w:sz w:val="20"/>
          <w:u w:val="single"/>
        </w:rPr>
        <w:t>No Disqualification Events</w:t>
      </w:r>
      <w:r>
        <w:rPr>
          <w:rFonts w:ascii="Times New Roman" w:hAnsi="Times New Roman"/>
          <w:sz w:val="20"/>
        </w:rPr>
        <w:t>. With respect to the Securities to be offered and sold hereunder in reliance on Rule 506 under the Securities Act, none of the Company, any of its predecessors, any affiliated issuer, any director, executive officer, other officer of the Company participating in the offering hereunder, any beneficial owner of 20% or more of the Company’s outstanding voting equity securities, calculated on the basis of voting power, nor any promoter (as that term is defined in Rule 405 under the Securities Act) connected with the Company in any capacity at the time of sale (each, an “</w:t>
      </w:r>
      <w:r>
        <w:rPr>
          <w:rFonts w:ascii="Times New Roman" w:hAnsi="Times New Roman"/>
          <w:sz w:val="20"/>
          <w:u w:val="single"/>
        </w:rPr>
        <w:t>Issuer Covered Person</w:t>
      </w:r>
      <w:r>
        <w:rPr>
          <w:rFonts w:ascii="Times New Roman" w:hAnsi="Times New Roman"/>
          <w:sz w:val="20"/>
        </w:rPr>
        <w:t>” and, together, “</w:t>
      </w:r>
      <w:r>
        <w:rPr>
          <w:rFonts w:ascii="Times New Roman" w:hAnsi="Times New Roman"/>
          <w:sz w:val="20"/>
          <w:u w:val="single"/>
        </w:rPr>
        <w:t>Issuer Covered Persons</w:t>
      </w:r>
      <w:r>
        <w:rPr>
          <w:rFonts w:ascii="Times New Roman" w:hAnsi="Times New Roman"/>
          <w:sz w:val="20"/>
        </w:rPr>
        <w:t>”) is subject to any of the “</w:t>
      </w:r>
      <w:r>
        <w:rPr>
          <w:rFonts w:ascii="Times New Roman" w:hAnsi="Times New Roman"/>
          <w:sz w:val="20"/>
          <w:u w:val="single"/>
        </w:rPr>
        <w:t>Bad Actor</w:t>
      </w:r>
      <w:r>
        <w:rPr>
          <w:rFonts w:ascii="Times New Roman" w:hAnsi="Times New Roman"/>
          <w:sz w:val="20"/>
        </w:rPr>
        <w:t>” disqualifications described in Rule 506(d)(1)(i) to (viii) under the Securities Act (a “</w:t>
      </w:r>
      <w:r>
        <w:rPr>
          <w:rFonts w:ascii="Times New Roman" w:hAnsi="Times New Roman"/>
          <w:sz w:val="20"/>
          <w:u w:val="single"/>
        </w:rPr>
        <w:t>Disqualification Event</w:t>
      </w:r>
      <w:r>
        <w:rPr>
          <w:rFonts w:ascii="Times New Roman" w:hAnsi="Times New Roman"/>
          <w:sz w:val="20"/>
        </w:rPr>
        <w:t xml:space="preserve">”), except for a Disqualification Event covered by Rule 506(d)(2) or (d)(3). The Company has exercised reasonable care to determine whether any Issuer Covered Person is subject to a Disqualification Event. The Company has complied, to the extent applicable, with its disclosure obligations under Rule 506(e), and has furnished to the Purchasers a copy of any disclosures provided thereunder.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(ll) </w:t>
      </w:r>
      <w:r>
        <w:rPr>
          <w:rFonts w:ascii="Times New Roman" w:hAnsi="Times New Roman"/>
          <w:sz w:val="20"/>
          <w:u w:val="single"/>
        </w:rPr>
        <w:t>Other Covered Persons</w:t>
      </w:r>
      <w:r>
        <w:rPr>
          <w:rFonts w:ascii="Times New Roman" w:hAnsi="Times New Roman"/>
          <w:sz w:val="20"/>
        </w:rPr>
        <w:t xml:space="preserve">. Other than the Placement Agent, the Company is not aware of any person (other than any Issuer Covered Person) that has been or will be paid (directly or indirectly) remuneration for solicitation of purchasers in connection with the sale of any Securities. </w:t>
      </w:r>
    </w:p>
    <w:p>
      <w:pPr>
        <w:pStyle w:val="TextBody"/>
        <w:bidi w:val="0"/>
        <w:spacing w:before="240" w:after="0"/>
        <w:jc w:val="left"/>
        <w:rPr>
          <w:rFonts w:ascii="Times New Roman" w:hAnsi="Times New Roman"/>
          <w:sz w:val="20"/>
        </w:rPr>
      </w:pPr>
      <w:r>
        <w:rPr>
          <w:rFonts w:ascii="Times New Roman" w:hAnsi="Times New Roman"/>
          <w:sz w:val="20"/>
        </w:rPr>
        <w:t xml:space="preserve">(mm) </w:t>
      </w:r>
      <w:r>
        <w:rPr>
          <w:rFonts w:ascii="Times New Roman" w:hAnsi="Times New Roman"/>
          <w:sz w:val="20"/>
          <w:u w:val="single"/>
        </w:rPr>
        <w:t>Notice of Disqualification Events</w:t>
      </w:r>
      <w:r>
        <w:rPr>
          <w:rFonts w:ascii="Times New Roman" w:hAnsi="Times New Roman"/>
          <w:sz w:val="20"/>
        </w:rPr>
        <w:t xml:space="preserve">. The Company will notify the Purchasers and the Placement Agent in writing, prior to the Closing Date of (i) any Disqualification Event relating to any Issuer Covered Person and (ii) any event that would, with the passage of time, reasonably be expected to become a Disqualification Event relating to any Issuer Covered Person, in each case of which it is aware. </w:t>
      </w:r>
    </w:p>
    <w:p>
      <w:pPr>
        <w:pStyle w:val="TextBody"/>
        <w:bidi w:val="0"/>
        <w:spacing w:before="240" w:after="0"/>
        <w:jc w:val="left"/>
        <w:rPr>
          <w:rFonts w:ascii="Times New Roman" w:hAnsi="Times New Roman"/>
          <w:sz w:val="20"/>
        </w:rPr>
      </w:pPr>
      <w:r>
        <w:rPr>
          <w:rFonts w:ascii="Times New Roman" w:hAnsi="Times New Roman"/>
          <w:sz w:val="20"/>
        </w:rPr>
        <w:t xml:space="preserve">3.2 </w:t>
      </w:r>
      <w:r>
        <w:rPr>
          <w:rFonts w:ascii="Times New Roman" w:hAnsi="Times New Roman"/>
          <w:sz w:val="20"/>
          <w:u w:val="single"/>
        </w:rPr>
        <w:t>Representations and Warranties of the Purchaser</w:t>
      </w:r>
      <w:r>
        <w:rPr>
          <w:rFonts w:ascii="Times New Roman" w:hAnsi="Times New Roman"/>
          <w:sz w:val="20"/>
        </w:rPr>
        <w:t xml:space="preserve">. Each Purchaser hereby represents and warrants as of the date hereof and as of the Closing Date to the Company as follows (unless as of a specific date therein, in which case such representation or warranty shall be accurate as of such date):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Organization; Authority</w:t>
      </w:r>
      <w:r>
        <w:rPr>
          <w:rFonts w:ascii="Times New Roman" w:hAnsi="Times New Roman"/>
          <w:sz w:val="20"/>
        </w:rPr>
        <w:t xml:space="preserve">. Each Purchaser is either an individual or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the Transaction Documents and otherwise to carry out its obligations hereunder and thereunder. The execution and delivery of the Transaction Documents and performance by each Purchaser of the transactions contemplated by the Transaction Documents have been duly authorized by all necessary corporate, partnership, limited liability company or similar action, as applicable, on the part of the Purchaser. Each Transaction Document to which it is a party has been duly executed by the Purchaser, and when delivered by each Purchaser in accordance with the terms hereof, will constitute the valid and legally binding obligation of the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Understandings or Arrangements</w:t>
      </w:r>
      <w:r>
        <w:rPr>
          <w:rFonts w:ascii="Times New Roman" w:hAnsi="Times New Roman"/>
          <w:sz w:val="20"/>
        </w:rPr>
        <w:t xml:space="preserve">. Each Purchaser is acquiring the Securities as principal for its own account and has no direct or indirect arrangement or understandings with any other persons to distribute or regarding the distribution of such Securities (this representation and warranty not limiting the Purchaser’s right to sell the Securities pursuant to the Registration Statement or otherwise in compliance with applicable federal and state securities laws). Such Purchaser understands that the Shares, Warrants and the Warrant Shares are “restricted securities” and have not been registered under the Securities Act or any applicable state securities law and is acquiring the Securities hereunder in the ordinary course of its business. Such Purchaser is acquiring such Securities as principal for his, her or its own account and not with a view to or for distributing or reselling such Securities or any part thereof in violation of the Securities Act or any applicable state securities law, has no present intention of distributing any of such Securities in violation of the Securities Act or any applicable state securities law and has no direct or indirect arrangement or understandings with any other persons to distribute or regarding the distribution of such Securities in violation of the Securities Act or any applicable state securities law (this representation and warranty not limiting such Purchaser’s right to sell such Securities pursuant to the Registration Statement or otherwise in compliance with applicable federal and state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Purchaser Status</w:t>
      </w:r>
      <w:r>
        <w:rPr>
          <w:rFonts w:ascii="Times New Roman" w:hAnsi="Times New Roman"/>
          <w:sz w:val="20"/>
        </w:rPr>
        <w:t xml:space="preserve">. At the time each Purchaser was offered the Securities, it was, and as of the date hereof it is, and on each date on which it exercises any Warrants, it will be either: (i) an “accredited investor” as defined in Rule 501(a)(1), (a)(2), (a)(3), (a)(7)under the Securities Act or (ii) a “qualified institutional buyer” as defined in Rule 144A(a)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Experience of the Purchasers</w:t>
      </w:r>
      <w:r>
        <w:rPr>
          <w:rFonts w:ascii="Times New Roman" w:hAnsi="Times New Roman"/>
          <w:sz w:val="20"/>
        </w:rPr>
        <w:t xml:space="preserve">. Each Purchaser, either alone or together with its representatives, has such knowledge, sophistication and experience in business and financial matters so as to be capable of evaluating the merits and risks of the prospective investment in the Securities, and has so evaluated the merits and risks of such investment. Each Purchaser is able to bear the economic risk of an investment in the Securities and, at the present time, is able to afford a complete loss of such investment.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No General Solicitation</w:t>
      </w:r>
      <w:r>
        <w:rPr>
          <w:rFonts w:ascii="Times New Roman" w:hAnsi="Times New Roman"/>
          <w:sz w:val="20"/>
        </w:rPr>
        <w:t xml:space="preserve">. Each Purchaser is not, to each Purchaser’s knowledge, purchasing the Securities as a result of any advertisement, article, notice or other communication regarding the Securities published in any newspaper, magazine or similar media or broadcast over television or radio or presented at any seminar or, to the knowledge of such Purchaser, any other general solicitation or general advertisement.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Access to Information</w:t>
      </w:r>
      <w:r>
        <w:rPr>
          <w:rFonts w:ascii="Times New Roman" w:hAnsi="Times New Roman"/>
          <w:sz w:val="20"/>
        </w:rPr>
        <w:t xml:space="preserve">. Each Purchaser acknowledges that it has had the opportunity to review the Transaction Documents (including all exhibits and schedules thereto) and the SEC Reports and has been afforded, (i) the opportunity to ask such questions as it has deemed necessary of, and to receive answers from, representatives of the Company concerning the terms and conditions of the offering of the Securities and the merits and risks of investing in the Securities;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 Each Purchaser acknowledges and agrees that neither the Placement Agent nor any Affiliate of the Placement Agent has provided each Purchaser with any information or advice with respect to the Securities nor is such information or advice necessary or desired. Neither the Placement Agent nor any Affiliate has made or makes any representation as to the Company or the quality of the Securities and the Placement Agent and any Affiliate may have acquired non-public information with respect to the Company which each Purchaser agrees need not be provided to it. In connection with the issuance of the Securities to the Purchaser, neither the Placement Agent nor any of its Affiliates has acted as a financial advisor or fiduciary to the Purchaser.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Certain Transactions and Confidentiality</w:t>
      </w:r>
      <w:r>
        <w:rPr>
          <w:rFonts w:ascii="Times New Roman" w:hAnsi="Times New Roman"/>
          <w:sz w:val="20"/>
        </w:rPr>
        <w:t xml:space="preserve">. Other than consummating the transactions contemplated hereunder, each Purchaser has not, nor has any Person acting on behalf of or pursuant to any understanding with the Purchaser, directly or indirectly executed any purchases or sales, including Short Sales, of the securities of the Company during the period commencing as of the time that each Purchaser first received a term sheet (written or oral) from the Company or any other Person representing the Company setting forth the material terms of the transactions contemplated hereunder and ending immediately prior to the execution hereof. Other than to other Persons party to this Agreement or to the Purchaser’s representatives, including, without limitation, its officers, directors, partners, legal and other advisors, employees, agents and Affiliates, each Purchaser has maintained the confidentiality of all disclosures made to it in connection with this transaction (including the existence and terms of this transaction). Notwithstanding the foregoing, for the avoidance of doubt, nothing contained herein shall constitute a representation or warranty, or preclude any actions, with respect to locating or borrowing shares in order to effect Short Sales or similar transactions in the future.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Brokers</w:t>
      </w:r>
      <w:r>
        <w:rPr>
          <w:rFonts w:ascii="Times New Roman" w:hAnsi="Times New Roman"/>
          <w:sz w:val="20"/>
        </w:rPr>
        <w:t xml:space="preserve">. No agent, broker, investment banker, person or firm acting in a similar capacity on behalf of or under the authority of the Purchaser is or will be entitled to any broker’s or finder’s fee or any other commission or similar fee, directly or indirectly, for which the Company or any of its Affiliates after the Closing could have any liabilities in connection with this Agreement, any of the transactions contemplated by this Agreement, or on account of any action taken by the Purchaser in connection with the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Independent Advice</w:t>
      </w:r>
      <w:r>
        <w:rPr>
          <w:rFonts w:ascii="Times New Roman" w:hAnsi="Times New Roman"/>
          <w:sz w:val="20"/>
        </w:rPr>
        <w:t xml:space="preserve">. Each Purchaser understands that nothing in this Agreement or any other materials presented by or on behalf of the Company to the Purchaser in connection with the purchase of the Securities constitutes legal, tax or investment advice. </w:t>
      </w:r>
    </w:p>
    <w:p>
      <w:pPr>
        <w:pStyle w:val="TextBody"/>
        <w:bidi w:val="0"/>
        <w:spacing w:before="240" w:after="0"/>
        <w:jc w:val="left"/>
        <w:rPr>
          <w:rFonts w:ascii="Times New Roman" w:hAnsi="Times New Roman"/>
          <w:sz w:val="20"/>
        </w:rPr>
      </w:pPr>
      <w:r>
        <w:rPr>
          <w:rFonts w:ascii="Times New Roman" w:hAnsi="Times New Roman"/>
          <w:sz w:val="20"/>
        </w:rPr>
        <w:t xml:space="preserve">The Company acknowledges and agrees that the representations contained in this </w:t>
      </w:r>
      <w:r>
        <w:rPr>
          <w:rFonts w:ascii="Times New Roman" w:hAnsi="Times New Roman"/>
          <w:sz w:val="20"/>
          <w:u w:val="single"/>
        </w:rPr>
        <w:t>Section 3.2</w:t>
      </w:r>
      <w:r>
        <w:rPr>
          <w:rFonts w:ascii="Times New Roman" w:hAnsi="Times New Roman"/>
          <w:sz w:val="20"/>
        </w:rPr>
        <w:t xml:space="preserve"> shall not modify, amend or affect the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transactions contemplated hereby. Notwithstanding the foregoing, for the avoidance of doubt, nothing contained herein shall constitute a representation or warranty, or preclude any actions, with respect to locating or borrowing shares in order to effect Short Sales or similar transactions in the future.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0" w:after="0"/>
        <w:jc w:val="center"/>
        <w:rPr>
          <w:rFonts w:ascii="Times New Roman" w:hAnsi="Times New Roman"/>
          <w:sz w:val="20"/>
        </w:rPr>
      </w:pPr>
      <w:r>
        <w:rPr>
          <w:rFonts w:ascii="Times New Roman" w:hAnsi="Times New Roman"/>
          <w:sz w:val="20"/>
        </w:rPr>
        <w:t xml:space="preserve">OTHER AGREEMENTS OF THE PARTIES </w:t>
      </w:r>
    </w:p>
    <w:p>
      <w:pPr>
        <w:pStyle w:val="TextBody"/>
        <w:bidi w:val="0"/>
        <w:spacing w:before="240" w:after="0"/>
        <w:jc w:val="left"/>
        <w:rPr>
          <w:rFonts w:ascii="Times New Roman" w:hAnsi="Times New Roman"/>
          <w:sz w:val="20"/>
        </w:rPr>
      </w:pPr>
      <w:r>
        <w:rPr>
          <w:rFonts w:ascii="Times New Roman" w:hAnsi="Times New Roman"/>
          <w:sz w:val="20"/>
        </w:rPr>
        <w:t xml:space="preserve">4.1 </w:t>
      </w:r>
      <w:r>
        <w:rPr>
          <w:rFonts w:ascii="Times New Roman" w:hAnsi="Times New Roman"/>
          <w:sz w:val="20"/>
          <w:u w:val="single"/>
        </w:rPr>
        <w:t>Transfer Restrictions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Securities may only be disposed of in compliance with state and federal securities laws. In connection with any transfer of Securities other than pursuant to an effective registration statement or Rule 144, to the Company or to an Affiliate of a Purchaser or in connection with a pledge as contemplated in </w:t>
      </w:r>
      <w:r>
        <w:rPr>
          <w:rFonts w:ascii="Times New Roman" w:hAnsi="Times New Roman"/>
          <w:sz w:val="20"/>
          <w:u w:val="single"/>
        </w:rPr>
        <w:t>Section 4.1(b)</w:t>
      </w:r>
      <w:r>
        <w:rPr>
          <w:rFonts w:ascii="Times New Roman" w:hAnsi="Times New Roman"/>
          <w:sz w:val="20"/>
        </w:rPr>
        <w:t xml:space="preserve">, the Company may require the transferor thereof to provide to the Company an opinion of counsel selected by the transferor and reasonably acceptable to the Company, the form and substance of which opinion shall be reasonably satisfactory to the Company, to the effect that such transfer does not require registration of such transferred Securities under the Securities Act. As a condition of transfer, any such transferee shall agree in writing to be bound by the terms of this Agreement and shall have the rights and obligations of a Purchaser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The Purchasers agree to the imprinting, so long as is required by this </w:t>
      </w:r>
      <w:r>
        <w:rPr>
          <w:rFonts w:ascii="Times New Roman" w:hAnsi="Times New Roman"/>
          <w:sz w:val="20"/>
          <w:u w:val="single"/>
        </w:rPr>
        <w:t>Section 4.1</w:t>
      </w:r>
      <w:r>
        <w:rPr>
          <w:rFonts w:ascii="Times New Roman" w:hAnsi="Times New Roman"/>
          <w:sz w:val="20"/>
        </w:rPr>
        <w:t xml:space="preserve">, of a legend on any of the Securities in the following form: </w:t>
      </w:r>
    </w:p>
    <w:p>
      <w:pPr>
        <w:pStyle w:val="TextBody"/>
        <w:bidi w:val="0"/>
        <w:spacing w:before="240" w:after="0"/>
        <w:jc w:val="left"/>
        <w:rPr>
          <w:rFonts w:ascii="Times New Roman" w:hAnsi="Times New Roman"/>
          <w:sz w:val="20"/>
        </w:rPr>
      </w:pPr>
      <w:r>
        <w:rPr>
          <w:rFonts w:ascii="Times New Roman" w:hAnsi="Times New Roman"/>
          <w:sz w:val="20"/>
        </w:rPr>
        <w:t xml:space="preserve">[NEITHER] THIS SECURITY [NOR THE SECURITIES INTO WHICH THIS SECURITY IS EXERCISABLE] [HAS NOT]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WITH A REGISTERED BROKER-DEALER OR OTHER LOAN WITH A FINANCIAL INSTITUTION THAT IS AN “ACCREDITED INVESTOR” AS DEFINED IN RULE 501(a) UNDER THE SECURITIES ACT OR OTHER LOAN SECURED BY SUCH SECURITIES. </w:t>
      </w:r>
    </w:p>
    <w:p>
      <w:pPr>
        <w:pStyle w:val="TextBody"/>
        <w:bidi w:val="0"/>
        <w:spacing w:before="240" w:after="0"/>
        <w:jc w:val="left"/>
        <w:rPr>
          <w:rFonts w:ascii="Times New Roman" w:hAnsi="Times New Roman"/>
          <w:sz w:val="20"/>
        </w:rPr>
      </w:pPr>
      <w:r>
        <w:rPr>
          <w:rFonts w:ascii="Times New Roman" w:hAnsi="Times New Roman"/>
          <w:sz w:val="20"/>
        </w:rPr>
        <w:t>The Company acknowledges and agrees that a Purchaser may from time to time pledge pursuant to a bona fide margin agreement with a registered broker-dealer or grant a security interest in some or all of the Securities to a financial institution that is an “accredited investor” as defined in Rule 501(a) under the Securities Act and, if required under the terms of such arrangement, such Purchaser may transfer pledged or secured Securities to the pledgees or secured parties. Such a pledge or transfer would not be subject to approval of the Company and no legal opinion of legal counsel of the pledgee, secured party or pledgor shall be required in connection therewith. Further, no notice shall be required of such pledge. At the appropriate Purchaser’s expense, the Company will execute and deliver such reasonable documentation as a pledgee or secured party of Securities may reasonably request in connection with a pledge or transfer of the Securities, including, if the Securities are subject to registration pursuant to Section 4.20 of this Agreement, the preparation and filing of any required prospectus supplement under Rule 424(b)(3) under the Securities Act or other applicable provision of the Securities Act to appropriately amend the list of selling shareholders thereunder. The Company agrees to cause such legend to be removed promptly following effectiveness of a Registration Statement (“</w:t>
      </w:r>
      <w:r>
        <w:rPr>
          <w:rFonts w:ascii="Times New Roman" w:hAnsi="Times New Roman"/>
          <w:sz w:val="20"/>
          <w:u w:val="single"/>
        </w:rPr>
        <w:t>Effectiveness Date</w:t>
      </w:r>
      <w:r>
        <w:rPr>
          <w:rFonts w:ascii="Times New Roman" w:hAnsi="Times New Roman"/>
          <w:sz w:val="20"/>
        </w:rPr>
        <w:t xml:space="preserve">”) and Warrant Shares being issued after the Effectiveness Date shall be free of all legends. </w:t>
      </w:r>
    </w:p>
    <w:p>
      <w:pPr>
        <w:pStyle w:val="TextBody"/>
        <w:bidi w:val="0"/>
        <w:spacing w:before="240" w:after="0"/>
        <w:jc w:val="left"/>
        <w:rPr>
          <w:rFonts w:ascii="Times New Roman" w:hAnsi="Times New Roman"/>
          <w:sz w:val="20"/>
        </w:rPr>
      </w:pPr>
      <w:r>
        <w:rPr>
          <w:rFonts w:ascii="Times New Roman" w:hAnsi="Times New Roman"/>
          <w:sz w:val="20"/>
        </w:rPr>
        <w:t xml:space="preserve">(c) Certificates or book entry statements evidencing the Shares and Warrant Shares shall not contain any legend (including the legend set forth in </w:t>
      </w:r>
      <w:r>
        <w:rPr>
          <w:rFonts w:ascii="Times New Roman" w:hAnsi="Times New Roman"/>
          <w:sz w:val="20"/>
          <w:u w:val="single"/>
        </w:rPr>
        <w:t>Section 4.1(b)</w:t>
      </w:r>
      <w:r>
        <w:rPr>
          <w:rFonts w:ascii="Times New Roman" w:hAnsi="Times New Roman"/>
          <w:sz w:val="20"/>
        </w:rPr>
        <w:t xml:space="preserve">), (i) while a registration statement (including the Registration Statement) covering the resale of such security is effective under the Securities Act, (ii) following any sale of such Shares or Warrant Shares pursuant to Rule 144 (assuming cashless exercise of the Warrants), (iii) if requested by a Purchaser, if such Shares or Warrant Shares are eligible for sale under Rule 144 (assuming cashless exercise of the Warrants) or (iv) if such legend is not required under applicable requirements of the Securities Act (including judicial interpretations and pronouncements issued by the staff of the Commission). The Company shall cause its counsel to issue a legal opinion to the Transfer Agent or the Purchaser promptly after the Effectiveness Date if required by the Transfer Agent to effect the removal of the legend hereunder, or if requested by a Purchaser, respectively. If all or any portion of a Warrant is exercised at a time when there is an effective registration statement to cover the resale of the Warrant Shares, or if such Shares or Warrant Shares may be sold under Rule 144 and the Company is then in compliance with the current public information required under Rule 144 (assuming cashless exercise of the Warrants), or if the Shares or Warrant Shares may be sold under Rule 144 without the requirement for the Company to be in compliance with the current public information required under Rule 144 as to such Shares or Warrant Shares or if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such legend is not otherwise required under applicable requirements of the Securities Act (including judicial interpretations and pronouncements issued by the staff of the Commission) then such Shares and Warrant Shares shall be issued free of all legends. The Company agrees that following the Effectiveness Date, it will, no later than the earlier of (i) one (1) Trading Days and (ii) the number of Trading Days comprising the Standard Settlement Period (as defined below) following the delivery by a Purchaser to the Company or the Transfer Agent of a certificate representing Shares or Warrant Shares, as the case may be, issued with a restrictive legend (such date, the “</w:t>
      </w:r>
      <w:r>
        <w:rPr>
          <w:rFonts w:ascii="Times New Roman" w:hAnsi="Times New Roman"/>
          <w:sz w:val="20"/>
          <w:u w:val="single"/>
        </w:rPr>
        <w:t>Legend Removal Date</w:t>
      </w:r>
      <w:r>
        <w:rPr>
          <w:rFonts w:ascii="Times New Roman" w:hAnsi="Times New Roman"/>
          <w:sz w:val="20"/>
        </w:rPr>
        <w:t xml:space="preserve">”), deliver or cause to be delivered to such Purchaser a certificate representing such shares that is free from all restrictive and other legends. The Company may not make any notation on its records or give instructions to the Transfer Agent that enlarge the restrictions on transfer set forth in this </w:t>
      </w:r>
      <w:r>
        <w:rPr>
          <w:rFonts w:ascii="Times New Roman" w:hAnsi="Times New Roman"/>
          <w:sz w:val="20"/>
          <w:u w:val="single"/>
        </w:rPr>
        <w:t>Section 4</w:t>
      </w:r>
      <w:r>
        <w:rPr>
          <w:rFonts w:ascii="Times New Roman" w:hAnsi="Times New Roman"/>
          <w:sz w:val="20"/>
        </w:rPr>
        <w:t>. Certificates or book entry statements for Securities subject to legend removal hereunder shall be transmitted by the Transfer Agent to the Purchaser by crediting the account of the Purchaser’s prime broker with the Depository Trust Company System as directed by such Purchaser. As used herein, “</w:t>
      </w:r>
      <w:r>
        <w:rPr>
          <w:rFonts w:ascii="Times New Roman" w:hAnsi="Times New Roman"/>
          <w:sz w:val="20"/>
          <w:u w:val="single"/>
        </w:rPr>
        <w:t>Standard Settlement Period</w:t>
      </w:r>
      <w:r>
        <w:rPr>
          <w:rFonts w:ascii="Times New Roman" w:hAnsi="Times New Roman"/>
          <w:sz w:val="20"/>
        </w:rPr>
        <w:t xml:space="preserve">” means the standard settlement period, expressed in a number of Trading Days, on the Company’s primary Trading Market with respect to the Common Stock as in effect on the date of delivery of a certificate representing Shares or Warrant Shares, as the case may be, issued with a restrictive legend. </w:t>
      </w:r>
    </w:p>
    <w:p>
      <w:pPr>
        <w:pStyle w:val="TextBody"/>
        <w:bidi w:val="0"/>
        <w:spacing w:before="240" w:after="0"/>
        <w:jc w:val="left"/>
        <w:rPr>
          <w:rFonts w:ascii="Times New Roman" w:hAnsi="Times New Roman"/>
          <w:sz w:val="20"/>
        </w:rPr>
      </w:pPr>
      <w:r>
        <w:rPr>
          <w:rFonts w:ascii="Times New Roman" w:hAnsi="Times New Roman"/>
          <w:sz w:val="20"/>
        </w:rPr>
        <w:t>In addition to such Purchaser’s other available remedies, the Company shall pay to a Purchaser, in cash, (i) as partial liquidated damages and not as a penalty, for each $1,000 of Shares or Warrant Shares (based on the VWAP of the Common Stock on the date such Securities are submitted to the Transfer Agent) delivered for removal of the restrictive legend and subject to Section 4.1(c), $10 per Trading Day (increasing to $20 per Trading Day five (5) Trading Days after the Legend Removal Date) for each Trading Day after the Legend Removal Date until such certificate is delivered without a legend and (ii) if the Company fails to (a) issue and deliver (or cause to be delivered) to a Purchaser by the Legend Removal Date a certificate representing the Securities so delivered to the Company by such Purchaser that is free from all restrictive and other legends and (b) if after the Legend Removal Date such Purchaser purchases (in an open market transaction or otherwise) shares of Common Stock to deliver in satisfaction of a sale by such Purchaser of all or any portion of the number of shares of Common Stock, or a sale of a number of shares of Common Stock equal to all or any portion of the number of shares of Common Stock, that such Purchaser anticipated receiving from the Company without any restrictive legend, then an amount equal to the excess of such Purchaser’s total purchase price (including brokerage commissions and other out-of-pocket expenses, if any) for the shares of Common Stock so purchased (including brokerage commissions and other out-of-pocket expenses, if any) (the “</w:t>
      </w:r>
      <w:r>
        <w:rPr>
          <w:rFonts w:ascii="Times New Roman" w:hAnsi="Times New Roman"/>
          <w:sz w:val="20"/>
          <w:u w:val="single"/>
        </w:rPr>
        <w:t>Buy-In Price</w:t>
      </w:r>
      <w:r>
        <w:rPr>
          <w:rFonts w:ascii="Times New Roman" w:hAnsi="Times New Roman"/>
          <w:sz w:val="20"/>
        </w:rPr>
        <w:t xml:space="preserve">”) over the product of (A) such number of Shares or Warrant Shares that the Company was required to deliver to such Purchaser by the Legend Removal Date multiplied by (B) the lowest closing sale price of the Common Stock on any Trading Day during the period commencing on the date of the delivery by such Purchaser to the Company of the applicable Shares or Warrant Shares (as the case may be) and ending on the date of such delivery and payment under this Section 4.1(c). </w:t>
      </w:r>
    </w:p>
    <w:p>
      <w:pPr>
        <w:pStyle w:val="TextBody"/>
        <w:bidi w:val="0"/>
        <w:spacing w:before="240" w:after="0"/>
        <w:jc w:val="left"/>
        <w:rPr>
          <w:rFonts w:ascii="Times New Roman" w:hAnsi="Times New Roman"/>
          <w:sz w:val="20"/>
        </w:rPr>
      </w:pPr>
      <w:r>
        <w:rPr>
          <w:rFonts w:ascii="Times New Roman" w:hAnsi="Times New Roman"/>
          <w:sz w:val="20"/>
        </w:rPr>
        <w:t xml:space="preserve">(d) Each Purchaser, severally and not jointly with the other Purchasers, agrees with the Company that such Purchaser will sell any Securities pursuant to either the registration requirements of the Securities Act, including any applicable prospectus delivery requirements, or an exemption therefrom, and that if Securities are sold pursuant to a Registration Statement, they will be sold in compliance with the plan of distribution set forth therein, and acknowledges that the removal of the restrictive legend from certificates or book entry statements representing Securities as set forth in this Section 4.1 is predicated upon the Company’s reliance upon this understanding. </w:t>
      </w:r>
    </w:p>
    <w:p>
      <w:pPr>
        <w:pStyle w:val="TextBody"/>
        <w:bidi w:val="0"/>
        <w:spacing w:before="240" w:after="0"/>
        <w:jc w:val="left"/>
        <w:rPr>
          <w:rFonts w:ascii="Times New Roman" w:hAnsi="Times New Roman"/>
          <w:sz w:val="20"/>
        </w:rPr>
      </w:pPr>
      <w:r>
        <w:rPr>
          <w:rFonts w:ascii="Times New Roman" w:hAnsi="Times New Roman"/>
          <w:sz w:val="20"/>
        </w:rPr>
        <w:t xml:space="preserve">4.2 </w:t>
      </w:r>
      <w:r>
        <w:rPr>
          <w:rFonts w:ascii="Times New Roman" w:hAnsi="Times New Roman"/>
          <w:sz w:val="20"/>
          <w:u w:val="single"/>
        </w:rPr>
        <w:t>Furnishing of Information; Public Information</w:t>
      </w:r>
      <w:r>
        <w:rPr>
          <w:rFonts w:ascii="Times New Roman" w:hAnsi="Times New Roman"/>
          <w:sz w:val="20"/>
        </w:rPr>
        <w:t xml:space="preserve">. Until the earliest of the time that (i) no Purchaser owns Securities and (ii) the Common Warrants have expired, the Company covenants to timely file (or obtain extensions in respect thereof and file within the applicable grace period) all reports required to be filed by the Company after the date hereof pursuant to the Exchange Act, unless the Company is not then subject to the reporting requirements of the Exchange Act, in which case it will comply with the requirements for current publicly available information pursuant to Rule 144(c)(2), except in the event that the Company consummates (a) any transaction or series of related transactions as a result of which any Person (together with its Affiliates) acquires then outstanding securities of the Company representing more than fifty percent (50%) of the voting control of the Company; (b) a merger or reorganization of the Company with one or more other entities in which the Company is not the surviving entity; or (c) a sale of all or substantially all of the assets of the Company, where the consummation of such transaction results in the Company no longer subject to the reporting requirements of the Exchange Act.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4.3 </w:t>
      </w:r>
      <w:r>
        <w:rPr>
          <w:rFonts w:ascii="Times New Roman" w:hAnsi="Times New Roman"/>
          <w:sz w:val="20"/>
          <w:u w:val="single"/>
        </w:rPr>
        <w:t>Integration</w:t>
      </w:r>
      <w:r>
        <w:rPr>
          <w:rFonts w:ascii="Times New Roman" w:hAnsi="Times New Roman"/>
          <w:sz w:val="20"/>
        </w:rPr>
        <w:t xml:space="preserve">. The Company shall not sell, offer for sale or solicit offers to buy or otherwise negotiate in respect of any security (as defined in Section 2 of the Securities Act) that would be integrated with the offer or sale of the Securities for purposes of the rules and regulations of any Trading Market such that it would require stockholder approval prior to the closing of such other transaction unless stockholder approval is obtained before the closing of such subsequent transaction. </w:t>
      </w:r>
    </w:p>
    <w:p>
      <w:pPr>
        <w:pStyle w:val="TextBody"/>
        <w:bidi w:val="0"/>
        <w:spacing w:before="240" w:after="0"/>
        <w:jc w:val="left"/>
        <w:rPr>
          <w:rFonts w:ascii="Times New Roman" w:hAnsi="Times New Roman"/>
          <w:sz w:val="20"/>
        </w:rPr>
      </w:pPr>
      <w:r>
        <w:rPr>
          <w:rFonts w:ascii="Times New Roman" w:hAnsi="Times New Roman"/>
          <w:sz w:val="20"/>
        </w:rPr>
        <w:t xml:space="preserve">4.4 </w:t>
      </w:r>
      <w:r>
        <w:rPr>
          <w:rFonts w:ascii="Times New Roman" w:hAnsi="Times New Roman"/>
          <w:sz w:val="20"/>
          <w:u w:val="single"/>
        </w:rPr>
        <w:t>Securities Laws Disclosure; Publicity</w:t>
      </w:r>
      <w:r>
        <w:rPr>
          <w:rFonts w:ascii="Times New Roman" w:hAnsi="Times New Roman"/>
          <w:sz w:val="20"/>
        </w:rPr>
        <w:t xml:space="preserve">. The Company shall (a) by the Disclosure Time, issue a press release disclosing the material terms of the transactions contemplated hereby, and (b) file a Current Report on Form 8-K, including the Transaction Documents as exhibits thereto, with the Commission within the time required by the Exchange Act. The Company covenants and agrees that neither it, nor any other Person acting on its behalf will provide each Purchaser or its respective agents or counsel with any information that constitutes, or the Company reasonably believes constitutes, material non-public information, unless prior thereto each Purchaser shall have consented to the receipt of such information and agreed with the Company to keep such information confidential. The Company understands and confirms that each Purchaser shall be relying on the foregoing covenant in effecting transactions in securities of the Company. In addition, effective upon the issuance of such press release, the Company acknowledges and agrees that any and all confidentiality or similar obligations under any agreement, whether written or oral, between the Company, any of its subsidiaries or any of their respective officers, directors, agents, employees or Affiliates on the one hand, and each Purchaser or any of its Affiliates on the other hand, shall terminate. The Company and each Purchaser shall consult with each other in issuing any other press releases with respect to the transactions contemplated hereby, and neither the Company nor each Purchaser shall issue any such press release nor otherwise make any such public statement without the prior consent of the Company, with respect to any press release of the Purchaser, or without the prior consent of the Purchaser, with respect to any press release of the Company which names the Purchaser, which consent shall not unreasonably be withheld or delayed, except if such disclosure is required by law, in which case the disclosing party shall promptly provide the other party with prior notice of such public statement or communication. Notwithstanding the foregoing, the Company shall not publicly disclose the name of the Purchaser, or include the name of each Purchaser in any filing with the Commission or any regulatory agency or Trading Market, without the prior written consent of the Purchaser, except (a) as required by federal securities law in connection with the filing of final Transaction Documents with the Commission and (b) to the extent such disclosure is required by law or Trading Market regulations, in which case the Company shall provide each Purchaser with prior notice of such disclosure permitted under this clause (b). </w:t>
      </w:r>
    </w:p>
    <w:p>
      <w:pPr>
        <w:pStyle w:val="TextBody"/>
        <w:bidi w:val="0"/>
        <w:spacing w:before="240" w:after="0"/>
        <w:jc w:val="left"/>
        <w:rPr>
          <w:rFonts w:ascii="Times New Roman" w:hAnsi="Times New Roman"/>
          <w:sz w:val="20"/>
        </w:rPr>
      </w:pPr>
      <w:r>
        <w:rPr>
          <w:rFonts w:ascii="Times New Roman" w:hAnsi="Times New Roman"/>
          <w:sz w:val="20"/>
        </w:rPr>
        <w:t xml:space="preserve">4.5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4.6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4.7 </w:t>
      </w:r>
      <w:r>
        <w:rPr>
          <w:rFonts w:ascii="Times New Roman" w:hAnsi="Times New Roman"/>
          <w:sz w:val="20"/>
          <w:u w:val="single"/>
        </w:rPr>
        <w:t>Use of Proceeds</w:t>
      </w:r>
      <w:r>
        <w:rPr>
          <w:rFonts w:ascii="Times New Roman" w:hAnsi="Times New Roman"/>
          <w:sz w:val="20"/>
        </w:rPr>
        <w:t xml:space="preserve">. The Company shall use the net proceeds from the sale of the Securities hereunder for working capital purposes and shall not use such proceeds: (a) for the satisfaction of any portion of the Company’s debt (other than payment of trade payables in the ordinary course of the Company’s business and prior practices) or (b) in violation of FCPA or OFAC regulations. </w:t>
      </w:r>
    </w:p>
    <w:p>
      <w:pPr>
        <w:pStyle w:val="TextBody"/>
        <w:bidi w:val="0"/>
        <w:spacing w:before="240" w:after="0"/>
        <w:jc w:val="left"/>
        <w:rPr>
          <w:rFonts w:ascii="Times New Roman" w:hAnsi="Times New Roman"/>
          <w:sz w:val="20"/>
        </w:rPr>
      </w:pPr>
      <w:r>
        <w:rPr>
          <w:rFonts w:ascii="Times New Roman" w:hAnsi="Times New Roman"/>
          <w:sz w:val="20"/>
        </w:rPr>
        <w:t xml:space="preserve">4.8 </w:t>
      </w:r>
      <w:r>
        <w:rPr>
          <w:rFonts w:ascii="Times New Roman" w:hAnsi="Times New Roman"/>
          <w:sz w:val="20"/>
          <w:u w:val="single"/>
        </w:rPr>
        <w:t>Indemnification of the Purchaser</w:t>
      </w:r>
      <w:r>
        <w:rPr>
          <w:rFonts w:ascii="Times New Roman" w:hAnsi="Times New Roman"/>
          <w:sz w:val="20"/>
        </w:rPr>
        <w:t xml:space="preserve">. Subject to the provisions of this </w:t>
      </w:r>
      <w:r>
        <w:rPr>
          <w:rFonts w:ascii="Times New Roman" w:hAnsi="Times New Roman"/>
          <w:sz w:val="20"/>
          <w:u w:val="single"/>
        </w:rPr>
        <w:t>Section 4.8</w:t>
      </w:r>
      <w:r>
        <w:rPr>
          <w:rFonts w:ascii="Times New Roman" w:hAnsi="Times New Roman"/>
          <w:sz w:val="20"/>
        </w:rPr>
        <w:t>, the Company will indemnify and hold each Purchaser and its directors, officers, shareholders, members, partners, employees and agents (and any other Persons with a functionally equivalent role of a Person holding such titles notwithstanding a lack of such title or any other title), each Person who controls each Purchaser (within the meaning of Section 15 of the Securities Act and Section 20 of the Exchange Act), and the directors, officers, shareholders, agents, members, partners or employees (and any other Persons with a functionally equivalent role of a Person holding such titles notwithstanding a lack of such title or any other title) of such controlling persons (each, a “</w:t>
      </w:r>
      <w:r>
        <w:rPr>
          <w:rFonts w:ascii="Times New Roman" w:hAnsi="Times New Roman"/>
          <w:sz w:val="20"/>
          <w:u w:val="single"/>
        </w:rPr>
        <w:t>Purchaser Party</w:t>
      </w:r>
      <w:r>
        <w:rPr>
          <w:rFonts w:ascii="Times New Roman" w:hAnsi="Times New Roman"/>
          <w:sz w:val="20"/>
        </w:rPr>
        <w:t xml:space="preserve">”) harmless from any and all losses, liabilities, obligations, claims, contingencies, damages, costs and expenses, including all judgments, amounts paid in settlements, court costs and reasonable attorneys’ fees and costs of investigation that any such Purchaser Party may suffer or incur as a result of or relating to (a) any material breach of any of the representations, warranties, covenants or agreements made by the Company in this Agreement or in the other Transaction Documents or (b) any action instituted against the Purchaser Parties in any capacity, or any of them or their respective Affiliates, by any stockholder of the Company who is not an Affiliate of such Purchaser Party, with respect to any of the transactions contemplated by the Transaction Documents (unless such action is solely based upon a material breach of such Purchaser Party’s representations, warranties or covenants under the Transaction Documents or any agreements or understandings such Purchaser Party may have with any such stockholder or any violations by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such Purchaser Party of state or federal securities laws or any conduct by such Purchaser Party which is finally judicially determined to constitute fraud, gross negligence or willful misconduct), or (c) in connection with the Registration Statement the Company will indemnify each Purchaser Party, to the fullest extent permitted by applicable law, from and against any and all losses, claims, damages, liabilities, costs (including, without limitation, actual, reasonable and documented attorneys’ fees) and expenses, as incurred, arising out of or relating to (i) any untrue or alleged untrue statement of a material fact contained in such registration statement, any prospectus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supplement thereto, in the light of the circumstances under which they were made) not misleading, except to the extent, but only to the extent, that such untrue statements or omissions are based solely upon information regarding such Purchaser Party furnished in writing to the Company by such Purchaser Party expressly for use therein, or (ii) any violation or alleged violation by the Company of the Securities Act, the Exchange Act or any state securities law, or any rule or regulation thereunder in connection therewith. If any action shall be brought against any Purchaser Party in respect of which indemnity may be sought pursuant to this Agreement, such Purchaser Party shall promptly notify the Company in writing, and the Company shall have the right to assume the defense thereof with counsel of its own choosing reasonably acceptable to each Purchaser Party. Any Purchaser Party shall have the right to employ separate counsel in any such action and participate in the defense thereof, but the fees and expenses of such counsel shall be at the expense of such Purchaser Party except to the extent that (x) the employment thereof has been specifically authorized by the Company in writing, (y) the Company has failed after a reasonable period of time to assume such defense and to employ counsel or (z) in such action there is, in the reasonable opinion of counsel, a material conflict on any material issue between the position of the Company and the position of such Purchaser Party, in which case the Company shall be responsible for the reasonable fees and expenses of no more than one such separate counsel. The Company will not be liable to any Purchaser Party under this Agreement (1) for any settlement by a Purchaser Party effected without the Company’s prior written consent, which shall not be unreasonably withheld or delayed; or (2) to the extent, but only to the extent that a loss, claim, damage or liability is attributable to any Purchaser Party’s breach of any of the representations, warranties, covenants or agreements made by such Purchaser Party in this Agreement or in the other Transaction Documents or the fraud, gross negligence or willful misconduct of such Purchaser Party as determined by a final, non-appealable judgment of a court of competent jurisdiction. The indemnification required by this </w:t>
      </w:r>
      <w:r>
        <w:rPr>
          <w:rFonts w:ascii="Times New Roman" w:hAnsi="Times New Roman"/>
          <w:sz w:val="20"/>
          <w:u w:val="single"/>
        </w:rPr>
        <w:t>Section 4.8</w:t>
      </w:r>
      <w:r>
        <w:rPr>
          <w:rFonts w:ascii="Times New Roman" w:hAnsi="Times New Roman"/>
          <w:sz w:val="20"/>
        </w:rPr>
        <w:t xml:space="preserve"> shall be made by periodic payments of the amount thereof during the course of the investigation or defense, as and when bills are received or are incurred; provided, however, that if it is subsequently determined by a final, non-appealable judgment of a court of competent jurisdiction that each Purchaser was not entitled to receive such payments, each Purchaser shall promptly (but in no event later than five (5) Business Days) return such payments to the Company. The indemnity agreements contained herein shall be in addition to any cause of action or similar right of any Purchaser Party against the Company or others and any liabilities the Company may be subject to pursuant to law. </w:t>
      </w:r>
    </w:p>
    <w:p>
      <w:pPr>
        <w:pStyle w:val="TextBody"/>
        <w:bidi w:val="0"/>
        <w:spacing w:before="240" w:after="0"/>
        <w:jc w:val="left"/>
        <w:rPr>
          <w:rFonts w:ascii="Times New Roman" w:hAnsi="Times New Roman"/>
          <w:sz w:val="20"/>
        </w:rPr>
      </w:pPr>
      <w:r>
        <w:rPr>
          <w:rFonts w:ascii="Times New Roman" w:hAnsi="Times New Roman"/>
          <w:sz w:val="20"/>
        </w:rPr>
        <w:t xml:space="preserve">4.9 </w:t>
      </w:r>
      <w:r>
        <w:rPr>
          <w:rFonts w:ascii="Times New Roman" w:hAnsi="Times New Roman"/>
          <w:sz w:val="20"/>
          <w:u w:val="single"/>
        </w:rPr>
        <w:t>Reservation of Common Stock</w:t>
      </w:r>
      <w:r>
        <w:rPr>
          <w:rFonts w:ascii="Times New Roman" w:hAnsi="Times New Roman"/>
          <w:sz w:val="20"/>
        </w:rPr>
        <w:t xml:space="preserve">. As of the date hereof, the Company has reserved and the Company shall continue to reserve and keep available at all times, free of preemptive rights, a sufficient number of shares of Common Stock for the purpose of enabling the Company to issue Shares pursuant to this Agreement and the Warrant Shares pursuant to any exercise of the Common Warrants. </w:t>
      </w:r>
    </w:p>
    <w:p>
      <w:pPr>
        <w:pStyle w:val="TextBody"/>
        <w:bidi w:val="0"/>
        <w:spacing w:before="240" w:after="0"/>
        <w:jc w:val="left"/>
        <w:rPr>
          <w:rFonts w:ascii="Times New Roman" w:hAnsi="Times New Roman"/>
          <w:sz w:val="20"/>
        </w:rPr>
      </w:pPr>
      <w:r>
        <w:rPr>
          <w:rFonts w:ascii="Times New Roman" w:hAnsi="Times New Roman"/>
          <w:sz w:val="20"/>
        </w:rPr>
        <w:t xml:space="preserve">4.10 </w:t>
      </w:r>
      <w:r>
        <w:rPr>
          <w:rFonts w:ascii="Times New Roman" w:hAnsi="Times New Roman"/>
          <w:sz w:val="20"/>
          <w:u w:val="single"/>
        </w:rPr>
        <w:t>Listing of Common Stock</w:t>
      </w:r>
      <w:r>
        <w:rPr>
          <w:rFonts w:ascii="Times New Roman" w:hAnsi="Times New Roman"/>
          <w:sz w:val="20"/>
        </w:rPr>
        <w:t xml:space="preserve">. The Company hereby agrees to use commercially reasonable efforts to maintain the listing or quotation of the Common Stock on the Trading Market on which it is currently listed. The Company further agrees, if the Company applies to have the Common Stock traded on any other Trading Market, it will then include in such application all of the Shares and Warrant Shares, and will take such other action as is necessary to cause all of the Shares and Warrant Shares to be listed or quoted on such other Trading Market as promptly as possible. The Company will then take all action reasonably necessary to continue the listing and trading of its Common Stock on a Trading Market and will comply in all respects with the Company’s reporting, filing and other obligations under the bylaws or rules of the Trading Market. The Company agrees to use commercially reasonable efforts to maintain the eligibility of the Common Stock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 </w:t>
      </w:r>
    </w:p>
    <w:p>
      <w:pPr>
        <w:pStyle w:val="TextBody"/>
        <w:bidi w:val="0"/>
        <w:spacing w:before="240" w:after="0"/>
        <w:jc w:val="left"/>
        <w:rPr>
          <w:rFonts w:ascii="Times New Roman" w:hAnsi="Times New Roman"/>
          <w:sz w:val="20"/>
        </w:rPr>
      </w:pPr>
      <w:r>
        <w:rPr>
          <w:rFonts w:ascii="Times New Roman" w:hAnsi="Times New Roman"/>
          <w:sz w:val="20"/>
        </w:rPr>
        <w:t xml:space="preserve">4.11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4.12 </w:t>
      </w:r>
      <w:r>
        <w:rPr>
          <w:rFonts w:ascii="Times New Roman" w:hAnsi="Times New Roman"/>
          <w:sz w:val="20"/>
          <w:u w:val="single"/>
        </w:rPr>
        <w:t>Subsequent Equity Sales</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From the date hereof until sixty (60) days after the Effectiveness Date, neither the Company nor any of its subsidiaries shall (i) issue, enter into any agreement to issue or announce the issuance or proposed issuance of any shares of Common Stock or Common Stock Equivalents or (ii) file any registration statement or amendment or supplement thereto, other than the Registration Statement or filing a registration statement on Form S-8 in connection with any employee benefit plan and/or a registration statement on Form S-4 with respect to securities of the Company to be issued in connection with an acquisition or a business combination. </w:t>
      </w:r>
    </w:p>
    <w:p>
      <w:pPr>
        <w:pStyle w:val="TextBody"/>
        <w:bidi w:val="0"/>
        <w:spacing w:before="240" w:after="0"/>
        <w:jc w:val="left"/>
        <w:rPr>
          <w:rFonts w:ascii="Times New Roman" w:hAnsi="Times New Roman"/>
          <w:sz w:val="20"/>
        </w:rPr>
      </w:pPr>
      <w:r>
        <w:rPr>
          <w:rFonts w:ascii="Times New Roman" w:hAnsi="Times New Roman"/>
          <w:sz w:val="20"/>
        </w:rPr>
        <w:t>(b) From the date hereof until six (6) months after the Effectiveness Date, the Company shall be prohibited from effecting or entering into an agreement to effect any issuance by the Company or any of its subsidiaries of Common Stock or Common Stock Equivalents (or a combination of units thereof) involving a Variable Rate Transaction. “</w:t>
      </w:r>
      <w:r>
        <w:rPr>
          <w:rFonts w:ascii="Times New Roman" w:hAnsi="Times New Roman"/>
          <w:sz w:val="20"/>
          <w:u w:val="single"/>
        </w:rPr>
        <w:t>Variable Rate Transaction</w:t>
      </w:r>
      <w:r>
        <w:rPr>
          <w:rFonts w:ascii="Times New Roman" w:hAnsi="Times New Roman"/>
          <w:sz w:val="20"/>
        </w:rPr>
        <w:t xml:space="preserve">” means a transaction in which the Company (i) issues or sells any debt or equity securities that are convertible into, exchangeable or exercisable for, or include the right to receive additional shares of Common Stock either (A) at a conversion price, exercise price or exchange rate or other price that is based upon and/or varies with the trading prices of or quotations for the shares of Common Stock at any time after the initial issuance of such debt or equity securities, or (B) with a conversion, exercise or exchange price that is subject to being reset at some future date after the initial issuance of such debt or equity security or upon the occurrence of specified or contingent events directly or indirectly related to the business of the Company or the market for the Common Stock or (ii) enters into, or effects a transaction under, any agreement, including, but not limited to, an equity line of credit or an “at-the-market offering”, whereby the Company may issue securities at a future determined price regardless of whether shares pursuant to such agreement have actually been issued and regardless of whether such agreement is subsequently canceled. Any Purchaser shall be entitled to obtain injunctive relief against the Company to preclude any such issuance, which remedy shall be in addition to any right to collect damages.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the foregoing, this </w:t>
      </w:r>
      <w:r>
        <w:rPr>
          <w:rFonts w:ascii="Times New Roman" w:hAnsi="Times New Roman"/>
          <w:sz w:val="20"/>
          <w:u w:val="single"/>
        </w:rPr>
        <w:t>Section 4.12</w:t>
      </w:r>
      <w:r>
        <w:rPr>
          <w:rFonts w:ascii="Times New Roman" w:hAnsi="Times New Roman"/>
          <w:sz w:val="20"/>
        </w:rPr>
        <w:t xml:space="preserve"> shall not apply in respect of an Exempt Issuance, except that no Variable Rate Transaction shall be an Exempt Issuance. </w:t>
      </w:r>
    </w:p>
    <w:p>
      <w:pPr>
        <w:pStyle w:val="TextBody"/>
        <w:bidi w:val="0"/>
        <w:spacing w:before="240" w:after="0"/>
        <w:jc w:val="left"/>
        <w:rPr>
          <w:rFonts w:ascii="Times New Roman" w:hAnsi="Times New Roman"/>
          <w:sz w:val="20"/>
        </w:rPr>
      </w:pPr>
      <w:r>
        <w:rPr>
          <w:rFonts w:ascii="Times New Roman" w:hAnsi="Times New Roman"/>
          <w:sz w:val="20"/>
        </w:rPr>
        <w:t xml:space="preserve">4.13 </w:t>
      </w:r>
      <w:r>
        <w:rPr>
          <w:rFonts w:ascii="Times New Roman" w:hAnsi="Times New Roman"/>
          <w:sz w:val="20"/>
          <w:u w:val="single"/>
        </w:rPr>
        <w:t>Equal Treatment of Purchasers.</w:t>
      </w:r>
      <w:r>
        <w:rPr>
          <w:rFonts w:ascii="Times New Roman" w:hAnsi="Times New Roman"/>
          <w:sz w:val="20"/>
        </w:rPr>
        <w:t xml:space="preserve"> No consideration (including any modification of any Transaction Document) shall be offered or paid to any Person to amend or consent to a waiver or modification of any provision of the Transaction Documents unless the same consideration is also offered to all of the parties to the Transaction Documents. For clarification purposes, this provision constitutes a separate right granted to each Purchaser by the Company and negotiated separately by each Purchaser, and is intended for the Company to treat the Purchasers as a class and shall not in any way be construed as the Purchasers acting in concert or as a group with respect to the purchase, disposition or voting of Securities or otherwise. </w:t>
      </w:r>
    </w:p>
    <w:p>
      <w:pPr>
        <w:pStyle w:val="TextBody"/>
        <w:bidi w:val="0"/>
        <w:spacing w:before="240" w:after="0"/>
        <w:jc w:val="left"/>
        <w:rPr>
          <w:rFonts w:ascii="Times New Roman" w:hAnsi="Times New Roman"/>
          <w:sz w:val="20"/>
        </w:rPr>
      </w:pPr>
      <w:r>
        <w:rPr>
          <w:rFonts w:ascii="Times New Roman" w:hAnsi="Times New Roman"/>
          <w:sz w:val="20"/>
        </w:rPr>
        <w:t xml:space="preserve">4.14 </w:t>
      </w:r>
      <w:r>
        <w:rPr>
          <w:rFonts w:ascii="Times New Roman" w:hAnsi="Times New Roman"/>
          <w:sz w:val="20"/>
          <w:u w:val="single"/>
        </w:rPr>
        <w:t>Certain Transactions and Confidentiality</w:t>
      </w:r>
      <w:r>
        <w:rPr>
          <w:rFonts w:ascii="Times New Roman" w:hAnsi="Times New Roman"/>
          <w:sz w:val="20"/>
        </w:rPr>
        <w:t xml:space="preserve">. Each Purchaser covenants that neither it nor any Affiliate acting on its behalf or pursuant to any understanding with it will execute any purchases or sales, including Short Sales of any of the Company’s securities during the period commencing with the execution of this Agreement and ending at such time that the transactions contemplated by this Agreement are first publicly announced pursuant to the initial press release as described in </w:t>
      </w:r>
      <w:r>
        <w:rPr>
          <w:rFonts w:ascii="Times New Roman" w:hAnsi="Times New Roman"/>
          <w:sz w:val="20"/>
          <w:u w:val="single"/>
        </w:rPr>
        <w:t>Section 4.4</w:t>
      </w:r>
      <w:r>
        <w:rPr>
          <w:rFonts w:ascii="Times New Roman" w:hAnsi="Times New Roman"/>
          <w:sz w:val="20"/>
        </w:rPr>
        <w:t xml:space="preserve">. Each Purchaser covenants that until such time as the transactions contemplated by this Agreement are publicly disclosed by the Company pursuant to the initial press release as described in </w:t>
      </w:r>
      <w:r>
        <w:rPr>
          <w:rFonts w:ascii="Times New Roman" w:hAnsi="Times New Roman"/>
          <w:sz w:val="20"/>
          <w:u w:val="single"/>
        </w:rPr>
        <w:t>Section 4.4</w:t>
      </w:r>
      <w:r>
        <w:rPr>
          <w:rFonts w:ascii="Times New Roman" w:hAnsi="Times New Roman"/>
          <w:sz w:val="20"/>
        </w:rPr>
        <w:t xml:space="preserve">, each Purchaser will maintain the confidentiality of the existence and terms of this transaction and the information included in the Disclosure Schedules. Notwithstanding the foregoing, and notwithstanding anything contained in this Agreement to the contrary, the Company expressly acknowledges and agrees that (i) each Purchaser makes no representation, warranty or covenant hereby that it will not engage in effecting transactions in any securities of the Company after the time that the transactions contemplated by this Agreement are first publicly announced pursuant to the initial press release as described in Section 4.4, (ii) each Purchaser shall not be restricted or prohibited from effecting any transactions in any securities of the Company in accordance with applicable securities laws from and after the time that the transactions contemplated by this Agreement are first publicly announced pursuant to the initial press release as described in </w:t>
      </w:r>
      <w:r>
        <w:rPr>
          <w:rFonts w:ascii="Times New Roman" w:hAnsi="Times New Roman"/>
          <w:sz w:val="20"/>
          <w:u w:val="single"/>
        </w:rPr>
        <w:t>Section 4.4</w:t>
      </w:r>
      <w:r>
        <w:rPr>
          <w:rFonts w:ascii="Times New Roman" w:hAnsi="Times New Roman"/>
          <w:sz w:val="20"/>
        </w:rPr>
        <w:t xml:space="preserve">, and (iii) each Purchaser shall not have any duty of confidentiality or duty not to trade in the securities of the Company to the Company or its subsidiaries after the issuance of the initial press release as described in </w:t>
      </w:r>
      <w:r>
        <w:rPr>
          <w:rFonts w:ascii="Times New Roman" w:hAnsi="Times New Roman"/>
          <w:sz w:val="20"/>
          <w:u w:val="single"/>
        </w:rPr>
        <w:t>Section 4.4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4.15 [</w:t>
      </w:r>
      <w:r>
        <w:rPr>
          <w:rFonts w:ascii="Times New Roman" w:hAnsi="Times New Roman"/>
          <w:sz w:val="20"/>
          <w:u w:val="single"/>
        </w:rPr>
        <w:t>Reserved].</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4.16 </w:t>
      </w:r>
      <w:r>
        <w:rPr>
          <w:rFonts w:ascii="Times New Roman" w:hAnsi="Times New Roman"/>
          <w:sz w:val="20"/>
          <w:u w:val="single"/>
        </w:rPr>
        <w:t>Exercise Procedures</w:t>
      </w:r>
      <w:r>
        <w:rPr>
          <w:rFonts w:ascii="Times New Roman" w:hAnsi="Times New Roman"/>
          <w:sz w:val="20"/>
        </w:rPr>
        <w:t xml:space="preserve">. The form of Notice of Exercise included in the Common Warrants set forth the totality of the procedures required of each Purchaser in order to exercise the Common Warrants. No additional legal opinion, other information or instructions shall be required of each Purchaser to exercise its Warrants. Without limiting the preceding sentences, no ink-original Notice of Exercise shall be required, nor shall any medallion guarantee (or other type of guarantee or notarization) of any Notice of Exercise form be required in order to exercise the Common Warrants. The Company shall honor exercises of the Common Warrants and shall deliver Warrant Shares in accordance with the terms, conditions and time periods set forth in the Transaction Documents. </w:t>
      </w:r>
    </w:p>
    <w:p>
      <w:pPr>
        <w:pStyle w:val="TextBody"/>
        <w:bidi w:val="0"/>
        <w:spacing w:before="240" w:after="0"/>
        <w:jc w:val="left"/>
        <w:rPr>
          <w:rFonts w:ascii="Times New Roman" w:hAnsi="Times New Roman"/>
          <w:sz w:val="20"/>
        </w:rPr>
      </w:pPr>
      <w:r>
        <w:rPr>
          <w:rFonts w:ascii="Times New Roman" w:hAnsi="Times New Roman"/>
          <w:sz w:val="20"/>
        </w:rPr>
        <w:t xml:space="preserve">4.17 </w:t>
      </w:r>
      <w:r>
        <w:rPr>
          <w:rFonts w:ascii="Times New Roman" w:hAnsi="Times New Roman"/>
          <w:sz w:val="20"/>
          <w:u w:val="single"/>
        </w:rPr>
        <w:t>Lock-Up Agreements</w:t>
      </w:r>
      <w:r>
        <w:rPr>
          <w:rFonts w:ascii="Times New Roman" w:hAnsi="Times New Roman"/>
          <w:sz w:val="20"/>
        </w:rPr>
        <w:t xml:space="preserve">. The Company shall not amend, modify, waive or terminate any provision of any of the Lock-Up Agreements except to extend the term of the lock-up period and shall enforce the provisions of each Lock-Up Agreement in accordance with its terms. If any party to a Lock-Up Agreement breaches any provision of a Lock-Up Agreement, the Company shall promptly use its best efforts to seek specific performance of the terms of such Lock-Up Agreement. </w:t>
      </w:r>
    </w:p>
    <w:p>
      <w:pPr>
        <w:pStyle w:val="TextBody"/>
        <w:bidi w:val="0"/>
        <w:spacing w:before="240" w:after="0"/>
        <w:jc w:val="left"/>
        <w:rPr>
          <w:rFonts w:ascii="Times New Roman" w:hAnsi="Times New Roman"/>
          <w:sz w:val="20"/>
        </w:rPr>
      </w:pPr>
      <w:r>
        <w:rPr>
          <w:rFonts w:ascii="Times New Roman" w:hAnsi="Times New Roman"/>
          <w:sz w:val="20"/>
        </w:rPr>
        <w:t xml:space="preserve">4.18 </w:t>
      </w:r>
      <w:r>
        <w:rPr>
          <w:rFonts w:ascii="Times New Roman" w:hAnsi="Times New Roman"/>
          <w:sz w:val="20"/>
          <w:u w:val="single"/>
        </w:rPr>
        <w:t>Form D; Blue Sky Filings</w:t>
      </w:r>
      <w:r>
        <w:rPr>
          <w:rFonts w:ascii="Times New Roman" w:hAnsi="Times New Roman"/>
          <w:sz w:val="20"/>
        </w:rPr>
        <w:t xml:space="preserve">. If applicable, the Company agrees to timely file a Form D with respect to the Securities as required under Regulation D and to provide a copy thereof, promptly upon request of any Purchaser. The Company shall take such action as the Company shall reasonably determine is necessary in order to obtain an exemption for, or to qualify the Securities for, sale to the Purchasers at the Closing under applicable securities or “Blue Sky” laws of the states of the United States, and shall provide evidence of such actions (if any, depending on the Company’s determination) promptly upon request of any Purchaser. </w:t>
      </w:r>
    </w:p>
    <w:p>
      <w:pPr>
        <w:pStyle w:val="TextBody"/>
        <w:bidi w:val="0"/>
        <w:spacing w:before="240" w:after="0"/>
        <w:jc w:val="left"/>
        <w:rPr>
          <w:rFonts w:ascii="Times New Roman" w:hAnsi="Times New Roman"/>
          <w:sz w:val="20"/>
        </w:rPr>
      </w:pPr>
      <w:r>
        <w:rPr>
          <w:rFonts w:ascii="Times New Roman" w:hAnsi="Times New Roman"/>
          <w:sz w:val="20"/>
        </w:rPr>
        <w:t xml:space="preserve">4.19 </w:t>
      </w:r>
      <w:r>
        <w:rPr>
          <w:rFonts w:ascii="Times New Roman" w:hAnsi="Times New Roman"/>
          <w:sz w:val="20"/>
          <w:u w:val="single"/>
        </w:rPr>
        <w:t>Capital Changes</w:t>
      </w:r>
      <w:r>
        <w:rPr>
          <w:rFonts w:ascii="Times New Roman" w:hAnsi="Times New Roman"/>
          <w:sz w:val="20"/>
        </w:rPr>
        <w:t xml:space="preserve">. From the date hereof until thirty (30) days after the Closing Date, the Company shall not undertake a reverse or forward stock split or reclassification of the Common Stock without the prior written consent of the Purchasers holding a majority in interest of the Securities, except for any reverse or forward stock split or reclassification previously approved by the Company’s stockholders. </w:t>
      </w:r>
    </w:p>
    <w:p>
      <w:pPr>
        <w:pStyle w:val="TextBody"/>
        <w:bidi w:val="0"/>
        <w:spacing w:before="240" w:after="0"/>
        <w:jc w:val="left"/>
        <w:rPr>
          <w:rFonts w:ascii="Times New Roman" w:hAnsi="Times New Roman"/>
          <w:sz w:val="20"/>
        </w:rPr>
      </w:pPr>
      <w:r>
        <w:rPr>
          <w:rFonts w:ascii="Times New Roman" w:hAnsi="Times New Roman"/>
          <w:sz w:val="20"/>
        </w:rPr>
        <w:t xml:space="preserve">4.20 </w:t>
      </w:r>
      <w:r>
        <w:rPr>
          <w:rFonts w:ascii="Times New Roman" w:hAnsi="Times New Roman"/>
          <w:sz w:val="20"/>
          <w:u w:val="single"/>
        </w:rPr>
        <w:t>Registration Statement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As soon as practicable (and in any event within 15 calendar days of the date of this Agreement), the Company shall file a registration statement on Form S-3, or if Form S-3 is not available, Form S-1 or any successor forms thereto (the “</w:t>
      </w:r>
      <w:r>
        <w:rPr>
          <w:rFonts w:ascii="Times New Roman" w:hAnsi="Times New Roman"/>
          <w:sz w:val="20"/>
          <w:u w:val="single"/>
        </w:rPr>
        <w:t>Registration Statement</w:t>
      </w:r>
      <w:r>
        <w:rPr>
          <w:rFonts w:ascii="Times New Roman" w:hAnsi="Times New Roman"/>
          <w:sz w:val="20"/>
        </w:rPr>
        <w:t>”), providing for the resale by the Purchasers of the Shares and the Warrant Shares (the “</w:t>
      </w:r>
      <w:r>
        <w:rPr>
          <w:rFonts w:ascii="Times New Roman" w:hAnsi="Times New Roman"/>
          <w:sz w:val="20"/>
          <w:u w:val="single"/>
        </w:rPr>
        <w:t>Registrable Securities</w:t>
      </w:r>
      <w:r>
        <w:rPr>
          <w:rFonts w:ascii="Times New Roman" w:hAnsi="Times New Roman"/>
          <w:sz w:val="20"/>
        </w:rPr>
        <w:t>”). The Company shall use its best efforts to cause the Registration Statement to become effective within 30 days (45 days in the event the Commission elects to review the Registration Statement) following the Closing Date and to keep such Registration Statement effective at all times until no Purchaser owns any Securities (the “</w:t>
      </w:r>
      <w:r>
        <w:rPr>
          <w:rFonts w:ascii="Times New Roman" w:hAnsi="Times New Roman"/>
          <w:sz w:val="20"/>
          <w:u w:val="single"/>
        </w:rPr>
        <w:t>Effectiveness Period</w:t>
      </w:r>
      <w:r>
        <w:rPr>
          <w:rFonts w:ascii="Times New Roman" w:hAnsi="Times New Roman"/>
          <w:sz w:val="20"/>
        </w:rPr>
        <w:t xml:space="preserve">”). In the event that the Commission notifies the Company that it has elected not to review the Registration Statement, the Company shall, subject to applicable law, request acceleration of the Registration Statement for an effective date that is no later than three (3) Business Days following the date when the Company receives such notification from the Commission. </w:t>
      </w:r>
    </w:p>
    <w:p>
      <w:pPr>
        <w:pStyle w:val="TextBody"/>
        <w:bidi w:val="0"/>
        <w:spacing w:before="240" w:after="0"/>
        <w:jc w:val="left"/>
        <w:rPr>
          <w:rFonts w:ascii="Times New Roman" w:hAnsi="Times New Roman"/>
          <w:sz w:val="20"/>
        </w:rPr>
      </w:pPr>
      <w:r>
        <w:rPr>
          <w:rFonts w:ascii="Times New Roman" w:hAnsi="Times New Roman"/>
          <w:sz w:val="20"/>
        </w:rPr>
        <w:t xml:space="preserve">(b) (b) If: (i) the registration statement described in Section 4.20(a) above is not filed on or prior to it’s the filing date in Section 4.20 above, or (ii) the Company fails to file with the Commission a request for acceleration of a registration statement in accordance with Rule 461 promulgated by the Commission pursuant to the Securities Act, within five Trading Days of the date that the Company is notified (orally or in writing, whichever is earlier) by the Commission that such registration statement will not be “reviewed” or will not be subject to further review, or (iii) prior to the effective date of a registration statement, the Company fails to file a pre-effective amendment and otherwise respond in writing to comments made by the Commission in respect of such registration statement within ten (10) calendar days after the receipt of comments by or notice from the Commission that such amendment is required in order for such registration statement to be declared effective, or (iv) a registration statement registering for resale all of the Registrable Securities is not declared effective by the Commission by the Effectiveness Date or (v) after the effective date of a registration statement, such registration statement ceases for any reason to remain continuously effective as to all Registrable Securities included in such registration statement, or the Purchasers are otherwise not permitted to utilize a prospectus therein to resell such Registrable Securities, for more than ten (10) consecutive calendar days or more than an aggregate of fifteen (15) calendar days (which need not be consecutive calendar days) during any 12-month period (any such failure or breach being referred to as an “Event”, and for purposes of clauses (i) and (iv), the date on which such Event occurs, and for purpose of clause (ii) the date on which such five (5) Trading Day period is exceeded, and for purpose of clause (iii) the date which such ten (10) calendar day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period is exceeded, and for purpose of clause (v) the date on which such ten (10) or fifteen (15) calendar day period, as applicable, is exceeded being referred to as “Event Date”), then, in addition to any other rights the Purchasers may have hereunder or under applicable law, on each such Event Date and on each monthly anniversary of each such Event Date (if the applicable Event shall not have been cured by such date) until the applicable Event is cured, the Company shall pay to each Holder an amount in cash, as partial liquidated damages and not as a penalty, equal to the product of 2.0% multiplied by the aggregate Subscription Amount paid by such Holder pursuant to this Agreement. If the Company fails to pay any partial liquidated damages pursuant to this Section in full within seven days after the date payable, the Company will pay interest thereon at a rate of 18% per annum (or such lesser maximum amount that is permitted to be paid by applicable law) to the Holder, accruing daily from the date such partial liquidated damages are due until such amounts, plus all such interest thereon, are paid in full. The partial liquidated damages pursuant to the terms hereof shall apply on a daily pro rata basis for any portion of a month prior to the cure of an Event; provided, that in no event shall the aggregate partial liquidated damages payable to a Purchaser pursuant to this Section 4.20(b) exceed ten percent (10%) of such Purchaser’s Subscription Amount. </w:t>
      </w:r>
    </w:p>
    <w:p>
      <w:pPr>
        <w:pStyle w:val="TextBody"/>
        <w:bidi w:val="0"/>
        <w:spacing w:before="240" w:after="0"/>
        <w:jc w:val="left"/>
        <w:rPr>
          <w:rFonts w:ascii="Times New Roman" w:hAnsi="Times New Roman"/>
          <w:sz w:val="20"/>
        </w:rPr>
      </w:pPr>
      <w:r>
        <w:rPr>
          <w:rFonts w:ascii="Times New Roman" w:hAnsi="Times New Roman"/>
          <w:sz w:val="20"/>
        </w:rPr>
        <w:t xml:space="preserve">In order to facilitate the Company filing a resale registration statement registering the Securities for resale as contemplated hereby, each Purchaser hereby agrees to provide the Company with, following reasonable advance written request by the Company, an executed selling stockholder questionnaire in a form reasonably acceptable to such Purchaser and the Company as is customary under the circumstances. </w:t>
      </w:r>
    </w:p>
    <w:p>
      <w:pPr>
        <w:pStyle w:val="TextBody"/>
        <w:bidi w:val="0"/>
        <w:spacing w:before="240" w:after="0"/>
        <w:jc w:val="left"/>
        <w:rPr>
          <w:rFonts w:ascii="Times New Roman" w:hAnsi="Times New Roman"/>
          <w:sz w:val="20"/>
        </w:rPr>
      </w:pPr>
      <w:r>
        <w:rPr>
          <w:rFonts w:ascii="Times New Roman" w:hAnsi="Times New Roman"/>
          <w:sz w:val="20"/>
        </w:rPr>
        <w:t xml:space="preserve">4.21 </w:t>
      </w:r>
      <w:r>
        <w:rPr>
          <w:rFonts w:ascii="Times New Roman" w:hAnsi="Times New Roman"/>
          <w:sz w:val="20"/>
          <w:u w:val="single"/>
        </w:rPr>
        <w:t>Stockholder Approval</w:t>
      </w:r>
      <w:r>
        <w:rPr>
          <w:rFonts w:ascii="Times New Roman" w:hAnsi="Times New Roman"/>
          <w:sz w:val="20"/>
        </w:rPr>
        <w:t xml:space="preserve">. The Company shall hold a meeting of stockholders at the earliest practicable date after the date hereof, but in no event later than 75 days after the Closing Date for the purpose of obtaining Stockholder Approval, if required to effect the purpose thereof, with the recommendation of the Board that such proposal be approved, and the Company shall solicit proxies from its stockholders in connection therewith in the same manner as all other management proposals in such proxy statement and all management-appointed proxyholders shall vote their proxies in favor of such proposal. The Company shall use its reasonable best efforts to obtain such Stockholder Approval, and request that its officers and directors, cast their proxies in favor of such proposal. If the Company does not obtain Stockholder Approval at the first meeting, the Company shall call a meeting every ninety (90) days thereafter to seek Stockholder Approval until the earlier of the date Stockholder Approval is obtained or the Warrants are no longer outstanding.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0" w:after="0"/>
        <w:jc w:val="center"/>
        <w:rPr>
          <w:rFonts w:ascii="Times New Roman" w:hAnsi="Times New Roman"/>
          <w:sz w:val="20"/>
        </w:rPr>
      </w:pPr>
      <w:r>
        <w:rPr>
          <w:rFonts w:ascii="Times New Roman" w:hAnsi="Times New Roman"/>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5.1 Termination. This Agreement may be terminated by each Purchaser by written notice to the Company, or by the Company by written notice to the Purchasers, if the Closing has not been consummated on or before the fifth (5th) Trading Day following the date hereof; provided, however, that no such termination will affect the right of any party to sue for any breach by any other party (or parties) </w:t>
      </w:r>
    </w:p>
    <w:p>
      <w:pPr>
        <w:pStyle w:val="TextBody"/>
        <w:bidi w:val="0"/>
        <w:spacing w:before="240" w:after="0"/>
        <w:jc w:val="left"/>
        <w:rPr>
          <w:rFonts w:ascii="Times New Roman" w:hAnsi="Times New Roman"/>
          <w:sz w:val="20"/>
        </w:rPr>
      </w:pPr>
      <w:r>
        <w:rPr>
          <w:rFonts w:ascii="Times New Roman" w:hAnsi="Times New Roman"/>
          <w:sz w:val="20"/>
        </w:rPr>
        <w:t xml:space="preserve">5.2 </w:t>
      </w:r>
      <w:r>
        <w:rPr>
          <w:rFonts w:ascii="Times New Roman" w:hAnsi="Times New Roman"/>
          <w:sz w:val="20"/>
          <w:u w:val="single"/>
        </w:rPr>
        <w:t>Fees and Expenses</w:t>
      </w:r>
      <w:r>
        <w:rPr>
          <w:rFonts w:ascii="Times New Roman" w:hAnsi="Times New Roman"/>
          <w:sz w:val="20"/>
        </w:rPr>
        <w:t xml:space="preserve">. Except as expressly set forth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 The Company shall pay all Transfer Agent fees (including, without limitation, any fees required for same-day processing of any instruction letter delivered by the Company and any exercise notice delivered by the Purchaser), stamp taxes and other taxes and duties levied in connection with the delivery of any Securities to the Purchaser. </w:t>
      </w:r>
    </w:p>
    <w:p>
      <w:pPr>
        <w:pStyle w:val="TextBody"/>
        <w:bidi w:val="0"/>
        <w:spacing w:before="240" w:after="0"/>
        <w:jc w:val="left"/>
        <w:rPr>
          <w:rFonts w:ascii="Times New Roman" w:hAnsi="Times New Roman"/>
          <w:sz w:val="20"/>
        </w:rPr>
      </w:pPr>
      <w:r>
        <w:rPr>
          <w:rFonts w:ascii="Times New Roman" w:hAnsi="Times New Roman"/>
          <w:sz w:val="20"/>
        </w:rPr>
        <w:t xml:space="preserve">5.3 </w:t>
      </w:r>
      <w:r>
        <w:rPr>
          <w:rFonts w:ascii="Times New Roman" w:hAnsi="Times New Roman"/>
          <w:sz w:val="20"/>
          <w:u w:val="single"/>
        </w:rPr>
        <w:t>Entire Agreement</w:t>
      </w:r>
      <w:r>
        <w:rPr>
          <w:rFonts w:ascii="Times New Roman" w:hAnsi="Times New Roman"/>
          <w:sz w:val="20"/>
        </w:rPr>
        <w:t xml:space="preserve">. The Transaction Documents, together with the exhibits and schedules thereto,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 </w:t>
      </w:r>
    </w:p>
    <w:p>
      <w:pPr>
        <w:pStyle w:val="TextBody"/>
        <w:bidi w:val="0"/>
        <w:spacing w:before="240" w:after="0"/>
        <w:jc w:val="left"/>
        <w:rPr>
          <w:rFonts w:ascii="Times New Roman" w:hAnsi="Times New Roman"/>
          <w:sz w:val="20"/>
        </w:rPr>
      </w:pPr>
      <w:r>
        <w:rPr>
          <w:rFonts w:ascii="Times New Roman" w:hAnsi="Times New Roman"/>
          <w:sz w:val="20"/>
        </w:rPr>
        <w:t xml:space="preserve">5.4 </w:t>
      </w:r>
      <w:r>
        <w:rPr>
          <w:rFonts w:ascii="Times New Roman" w:hAnsi="Times New Roman"/>
          <w:sz w:val="20"/>
          <w:u w:val="single"/>
        </w:rPr>
        <w:t>Notices</w:t>
      </w:r>
      <w:r>
        <w:rPr>
          <w:rFonts w:ascii="Times New Roman" w:hAnsi="Times New Roman"/>
          <w:sz w:val="20"/>
        </w:rPr>
        <w:t xml:space="preserve">. Any and all notices or other communications or deliveries required or permitted to be provided hereunder shall be in writing and shall be deemed given and effective on the earliest of: (a) the time of transmission, if such notice or communication is delivered via facsimile at the facsimile number or email attachment at the email address as set forth on the signature pages attached hereto at or prior to 5:30 p.m. (New York City time) on a Trading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Day, (b) the next Trading Day after the time of transmission, if such notice or communication is delivered via facsimile at the facsimile number or email attachment at the email address as set forth on the signature pages attached hereto on a day that is not a Trading Day or later than 5:30 p.m. (New York City time) on any Trading Day, (c) the first (1st)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 To the extent that any notice provided pursuant to any Transaction Document constitutes, or contains, material, non-public information regarding the Company or any subsidiaries, the Company shall simultaneously file such notice with the Commission pursuant to a Current Report on Form 8-K. </w:t>
      </w:r>
    </w:p>
    <w:p>
      <w:pPr>
        <w:pStyle w:val="TextBody"/>
        <w:bidi w:val="0"/>
        <w:spacing w:before="240" w:after="0"/>
        <w:jc w:val="left"/>
        <w:rPr>
          <w:rFonts w:ascii="Times New Roman" w:hAnsi="Times New Roman"/>
          <w:sz w:val="20"/>
        </w:rPr>
      </w:pPr>
      <w:r>
        <w:rPr>
          <w:rFonts w:ascii="Times New Roman" w:hAnsi="Times New Roman"/>
          <w:sz w:val="20"/>
        </w:rPr>
        <w:t xml:space="preserve">5.5 </w:t>
      </w:r>
      <w:r>
        <w:rPr>
          <w:rFonts w:ascii="Times New Roman" w:hAnsi="Times New Roman"/>
          <w:sz w:val="20"/>
          <w:u w:val="single"/>
        </w:rPr>
        <w:t>Amendments; Waivers</w:t>
      </w:r>
      <w:r>
        <w:rPr>
          <w:rFonts w:ascii="Times New Roman" w:hAnsi="Times New Roman"/>
          <w:sz w:val="20"/>
        </w:rPr>
        <w:t xml:space="preserve">. No provision of this Agreement may be waived, modified, supplemented or amended except in a written instrument signed, in the case of an amendment, by the Company and the Purchasers (excluding any Purchaser that is an officer, director, employee or other insider of the Company or any of its affiliates) which purchased at least 50.1% in interest of the sum of the Shares and Warrant Shares based on the initial Subscription Amounts hereunder (or, prior to the Closing, the Company and each Purchaser) or, in the case of a waiver, by the party against whom enforcement of any such waived provision is sought, provided that if any amendment, modification or waiver disproportionately and adversely impacts a Purchaser (or multiple Purchasers) in any material respect, the consent of such disproportionately impacted Purchaser (or at least 50.1% in interest of such multiple Purchasers) shall also be required.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 </w:t>
      </w:r>
    </w:p>
    <w:p>
      <w:pPr>
        <w:pStyle w:val="TextBody"/>
        <w:bidi w:val="0"/>
        <w:spacing w:before="240" w:after="0"/>
        <w:jc w:val="left"/>
        <w:rPr>
          <w:rFonts w:ascii="Times New Roman" w:hAnsi="Times New Roman"/>
          <w:sz w:val="20"/>
        </w:rPr>
      </w:pPr>
      <w:r>
        <w:rPr>
          <w:rFonts w:ascii="Times New Roman" w:hAnsi="Times New Roman"/>
          <w:sz w:val="20"/>
        </w:rPr>
        <w:t xml:space="preserve">5.6 </w:t>
      </w:r>
      <w:r>
        <w:rPr>
          <w:rFonts w:ascii="Times New Roman" w:hAnsi="Times New Roman"/>
          <w:sz w:val="20"/>
          <w:u w:val="single"/>
        </w:rPr>
        <w:t>Headings</w:t>
      </w:r>
      <w:r>
        <w:rPr>
          <w:rFonts w:ascii="Times New Roman" w:hAnsi="Times New Roman"/>
          <w:sz w:val="20"/>
        </w:rPr>
        <w:t xml:space="preserve">. The headings herein are for convenience only, do not constitute a part of this Agreement and shall not be deemed to limit or affect any of the provisions hereof. </w:t>
      </w:r>
    </w:p>
    <w:p>
      <w:pPr>
        <w:pStyle w:val="TextBody"/>
        <w:bidi w:val="0"/>
        <w:spacing w:before="240" w:after="0"/>
        <w:jc w:val="left"/>
        <w:rPr>
          <w:rFonts w:ascii="Times New Roman" w:hAnsi="Times New Roman"/>
          <w:sz w:val="20"/>
        </w:rPr>
      </w:pPr>
      <w:r>
        <w:rPr>
          <w:rFonts w:ascii="Times New Roman" w:hAnsi="Times New Roman"/>
          <w:sz w:val="20"/>
        </w:rPr>
        <w:t xml:space="preserve">5.7 </w:t>
      </w:r>
      <w:r>
        <w:rPr>
          <w:rFonts w:ascii="Times New Roman" w:hAnsi="Times New Roman"/>
          <w:sz w:val="20"/>
          <w:u w:val="single"/>
        </w:rPr>
        <w:t>Successors and Assigns</w:t>
      </w:r>
      <w:r>
        <w:rPr>
          <w:rFonts w:ascii="Times New Roman" w:hAnsi="Times New Roman"/>
          <w:sz w:val="20"/>
        </w:rPr>
        <w:t xml:space="preserve">. This Agreement shall be binding upon and inure to the benefit of the parties and their successors and permitted assigns. The Company may not assign this Agreement or any rights or obligations hereunder without the prior written consent of each Purchaser (other than by merger). Each Purchaser may assign any or all of its rights under this Agreement to any Person to whom each Purchaser assigns or transfers any Securities, provided that such transferee agrees in writing to be bound, with respect to the transferred Securities, by the provisions of the Transaction Documents that apply to the “Purchaser.” </w:t>
      </w:r>
    </w:p>
    <w:p>
      <w:pPr>
        <w:pStyle w:val="TextBody"/>
        <w:bidi w:val="0"/>
        <w:spacing w:before="240" w:after="0"/>
        <w:jc w:val="left"/>
        <w:rPr>
          <w:rFonts w:ascii="Times New Roman" w:hAnsi="Times New Roman"/>
          <w:sz w:val="20"/>
        </w:rPr>
      </w:pPr>
      <w:r>
        <w:rPr>
          <w:rFonts w:ascii="Times New Roman" w:hAnsi="Times New Roman"/>
          <w:sz w:val="20"/>
        </w:rPr>
        <w:t xml:space="preserve">5.8 </w:t>
      </w:r>
      <w:r>
        <w:rPr>
          <w:rFonts w:ascii="Times New Roman" w:hAnsi="Times New Roman"/>
          <w:sz w:val="20"/>
          <w:u w:val="single"/>
        </w:rPr>
        <w:t>No Third-Party Beneficiaries</w:t>
      </w:r>
      <w:r>
        <w:rPr>
          <w:rFonts w:ascii="Times New Roman" w:hAnsi="Times New Roman"/>
          <w:sz w:val="20"/>
        </w:rPr>
        <w:t xml:space="preserve">. The Placement Agent shall be the third-party beneficiary of the representations and warranties of the Company in </w:t>
      </w:r>
      <w:r>
        <w:rPr>
          <w:rFonts w:ascii="Times New Roman" w:hAnsi="Times New Roman"/>
          <w:sz w:val="20"/>
          <w:u w:val="single"/>
        </w:rPr>
        <w:t>Section 3.1</w:t>
      </w:r>
      <w:r>
        <w:rPr>
          <w:rFonts w:ascii="Times New Roman" w:hAnsi="Times New Roman"/>
          <w:sz w:val="20"/>
        </w:rPr>
        <w:t xml:space="preserve"> and the representations and warranties of each Purchaser in </w:t>
      </w:r>
      <w:r>
        <w:rPr>
          <w:rFonts w:ascii="Times New Roman" w:hAnsi="Times New Roman"/>
          <w:sz w:val="20"/>
          <w:u w:val="single"/>
        </w:rPr>
        <w:t>Section 3.2</w:t>
      </w:r>
      <w:r>
        <w:rPr>
          <w:rFonts w:ascii="Times New Roman" w:hAnsi="Times New Roman"/>
          <w:sz w:val="20"/>
        </w:rPr>
        <w:t xml:space="preserve">. This Agreement is intended for the benefit of the parties hereto and their respective successors and permitted assigns and is not for the benefit of, nor may any provision hereof be enforced by, any other Person, except as otherwise set forth in </w:t>
      </w:r>
      <w:r>
        <w:rPr>
          <w:rFonts w:ascii="Times New Roman" w:hAnsi="Times New Roman"/>
          <w:sz w:val="20"/>
          <w:u w:val="single"/>
        </w:rPr>
        <w:t>Section 4.8</w:t>
      </w:r>
      <w:r>
        <w:rPr>
          <w:rFonts w:ascii="Times New Roman" w:hAnsi="Times New Roman"/>
          <w:sz w:val="20"/>
        </w:rPr>
        <w:t xml:space="preserve"> and this </w:t>
      </w:r>
      <w:r>
        <w:rPr>
          <w:rFonts w:ascii="Times New Roman" w:hAnsi="Times New Roman"/>
          <w:sz w:val="20"/>
          <w:u w:val="single"/>
        </w:rPr>
        <w:t>Section 5.8</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5.9 </w:t>
      </w:r>
      <w:r>
        <w:rPr>
          <w:rFonts w:ascii="Times New Roman" w:hAnsi="Times New Roman"/>
          <w:sz w:val="20"/>
          <w:u w:val="single"/>
        </w:rPr>
        <w:t>Governing Law</w:t>
      </w:r>
      <w:r>
        <w:rPr>
          <w:rFonts w:ascii="Times New Roman" w:hAnsi="Times New Roman"/>
          <w:sz w:val="20"/>
        </w:rPr>
        <w:t xml:space="preserve">.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any party shall commence an Action or Proceeding to enforce any provisions of the Transaction Documents, then, in addition to the obligations of the Company under </w:t>
      </w:r>
      <w:r>
        <w:rPr>
          <w:rFonts w:ascii="Times New Roman" w:hAnsi="Times New Roman"/>
          <w:sz w:val="20"/>
          <w:u w:val="single"/>
        </w:rPr>
        <w:t>Section 4.8</w:t>
      </w:r>
      <w:r>
        <w:rPr>
          <w:rFonts w:ascii="Times New Roman" w:hAnsi="Times New Roman"/>
          <w:sz w:val="20"/>
        </w:rPr>
        <w:t xml:space="preserve">, the prevailing party in such Action or Proceeding shall be reimbursed by the non-prevailing party for its reasonable, actual and documented attorneys’ fees and other costs and expenses incurred with the investigation, preparation and prosecution of such Action or Proceeding.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5.10 </w:t>
      </w:r>
      <w:r>
        <w:rPr>
          <w:rFonts w:ascii="Times New Roman" w:hAnsi="Times New Roman"/>
          <w:sz w:val="20"/>
          <w:u w:val="single"/>
        </w:rPr>
        <w:t>Survival</w:t>
      </w:r>
      <w:r>
        <w:rPr>
          <w:rFonts w:ascii="Times New Roman" w:hAnsi="Times New Roman"/>
          <w:sz w:val="20"/>
        </w:rPr>
        <w:t xml:space="preserve">. The representations and warranties contained herein shall survive the Closing and the delivery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5.11 </w:t>
      </w:r>
      <w:r>
        <w:rPr>
          <w:rFonts w:ascii="Times New Roman" w:hAnsi="Times New Roman"/>
          <w:sz w:val="20"/>
          <w:u w:val="single"/>
        </w:rPr>
        <w:t>Execution</w:t>
      </w:r>
      <w:r>
        <w:rPr>
          <w:rFonts w:ascii="Times New Roman" w:hAnsi="Times New Roman"/>
          <w:sz w:val="20"/>
        </w:rPr>
        <w:t xml:space="preserve">.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were an original thereof. </w:t>
      </w:r>
    </w:p>
    <w:p>
      <w:pPr>
        <w:pStyle w:val="TextBody"/>
        <w:bidi w:val="0"/>
        <w:spacing w:before="240" w:after="0"/>
        <w:jc w:val="left"/>
        <w:rPr>
          <w:rFonts w:ascii="Times New Roman" w:hAnsi="Times New Roman"/>
          <w:sz w:val="20"/>
        </w:rPr>
      </w:pPr>
      <w:r>
        <w:rPr>
          <w:rFonts w:ascii="Times New Roman" w:hAnsi="Times New Roman"/>
          <w:sz w:val="20"/>
        </w:rPr>
        <w:t xml:space="preserve">5.12 </w:t>
      </w:r>
      <w:r>
        <w:rPr>
          <w:rFonts w:ascii="Times New Roman" w:hAnsi="Times New Roman"/>
          <w:sz w:val="20"/>
          <w:u w:val="single"/>
        </w:rPr>
        <w:t>Severability</w:t>
      </w:r>
      <w:r>
        <w:rPr>
          <w:rFonts w:ascii="Times New Roman" w:hAnsi="Times New Roman"/>
          <w:sz w:val="20"/>
        </w:rPr>
        <w:t xml:space="preserve">.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 </w:t>
      </w:r>
    </w:p>
    <w:p>
      <w:pPr>
        <w:pStyle w:val="TextBody"/>
        <w:bidi w:val="0"/>
        <w:spacing w:before="240" w:after="0"/>
        <w:jc w:val="left"/>
        <w:rPr>
          <w:rFonts w:ascii="Times New Roman" w:hAnsi="Times New Roman"/>
          <w:sz w:val="20"/>
        </w:rPr>
      </w:pPr>
      <w:r>
        <w:rPr>
          <w:rFonts w:ascii="Times New Roman" w:hAnsi="Times New Roman"/>
          <w:sz w:val="20"/>
        </w:rPr>
        <w:t xml:space="preserve">5.13 </w:t>
      </w:r>
      <w:r>
        <w:rPr>
          <w:rFonts w:ascii="Times New Roman" w:hAnsi="Times New Roman"/>
          <w:sz w:val="20"/>
          <w:u w:val="single"/>
        </w:rPr>
        <w:t>Replacement of Securities</w:t>
      </w:r>
      <w:r>
        <w:rPr>
          <w:rFonts w:ascii="Times New Roman" w:hAnsi="Times New Roman"/>
          <w:sz w:val="20"/>
        </w:rPr>
        <w:t xml:space="preserve">. If any certificate or instrument evidencing any Securities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Securities. </w:t>
      </w:r>
    </w:p>
    <w:p>
      <w:pPr>
        <w:pStyle w:val="TextBody"/>
        <w:bidi w:val="0"/>
        <w:spacing w:before="240" w:after="0"/>
        <w:jc w:val="left"/>
        <w:rPr>
          <w:rFonts w:ascii="Times New Roman" w:hAnsi="Times New Roman"/>
          <w:sz w:val="20"/>
        </w:rPr>
      </w:pPr>
      <w:r>
        <w:rPr>
          <w:rFonts w:ascii="Times New Roman" w:hAnsi="Times New Roman"/>
          <w:sz w:val="20"/>
        </w:rPr>
        <w:t xml:space="preserve">5.14 </w:t>
      </w:r>
      <w:r>
        <w:rPr>
          <w:rFonts w:ascii="Times New Roman" w:hAnsi="Times New Roman"/>
          <w:sz w:val="20"/>
          <w:u w:val="single"/>
        </w:rPr>
        <w:t>Remedies</w:t>
      </w:r>
      <w:r>
        <w:rPr>
          <w:rFonts w:ascii="Times New Roman" w:hAnsi="Times New Roman"/>
          <w:sz w:val="20"/>
        </w:rPr>
        <w:t xml:space="preserve">. In addition to being entitled to exercise all rights provided herein or granted by law, including recovery of damages, each Purchaser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 </w:t>
      </w:r>
    </w:p>
    <w:p>
      <w:pPr>
        <w:pStyle w:val="TextBody"/>
        <w:bidi w:val="0"/>
        <w:spacing w:before="240" w:after="0"/>
        <w:jc w:val="left"/>
        <w:rPr>
          <w:rFonts w:ascii="Times New Roman" w:hAnsi="Times New Roman"/>
          <w:sz w:val="20"/>
        </w:rPr>
      </w:pPr>
      <w:r>
        <w:rPr>
          <w:rFonts w:ascii="Times New Roman" w:hAnsi="Times New Roman"/>
          <w:sz w:val="20"/>
        </w:rPr>
        <w:t xml:space="preserve">5.15 </w:t>
      </w:r>
      <w:r>
        <w:rPr>
          <w:rFonts w:ascii="Times New Roman" w:hAnsi="Times New Roman"/>
          <w:sz w:val="20"/>
          <w:u w:val="single"/>
        </w:rPr>
        <w:t>Payment Set Aside</w:t>
      </w:r>
      <w:r>
        <w:rPr>
          <w:rFonts w:ascii="Times New Roman" w:hAnsi="Times New Roman"/>
          <w:sz w:val="20"/>
        </w:rPr>
        <w:t xml:space="preserve">. To the extent that the Company makes a payment or payments to each Purchaser pursuant to any Transaction Document or each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 </w:t>
      </w:r>
    </w:p>
    <w:p>
      <w:pPr>
        <w:pStyle w:val="TextBody"/>
        <w:bidi w:val="0"/>
        <w:spacing w:before="240" w:after="0"/>
        <w:jc w:val="left"/>
        <w:rPr>
          <w:rFonts w:ascii="Times New Roman" w:hAnsi="Times New Roman"/>
          <w:sz w:val="20"/>
        </w:rPr>
      </w:pPr>
      <w:r>
        <w:rPr>
          <w:rFonts w:ascii="Times New Roman" w:hAnsi="Times New Roman"/>
          <w:sz w:val="20"/>
        </w:rPr>
        <w:t xml:space="preserve">5.16 </w:t>
      </w:r>
      <w:r>
        <w:rPr>
          <w:rFonts w:ascii="Times New Roman" w:hAnsi="Times New Roman"/>
          <w:sz w:val="20"/>
          <w:u w:val="single"/>
        </w:rPr>
        <w:t>Saturdays, Sundays, Holidays, etc.</w:t>
      </w:r>
      <w:r>
        <w:rPr>
          <w:rFonts w:ascii="Times New Roman" w:hAnsi="Times New Roman"/>
          <w:sz w:val="20"/>
        </w:rPr>
        <w:t xml:space="preserve"> If the last or appointed day for the taking of any action or the expiration of any right required or granted herein shall not be a Business Day, then such action may be taken or such right may be exercised on the next succeeding Business Day.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5.17 </w:t>
      </w:r>
      <w:r>
        <w:rPr>
          <w:rFonts w:ascii="Times New Roman" w:hAnsi="Times New Roman"/>
          <w:sz w:val="20"/>
          <w:u w:val="single"/>
        </w:rPr>
        <w:t>Independent Nature of Purchaser’s Obligations and Rights</w:t>
      </w:r>
      <w:r>
        <w:rPr>
          <w:rFonts w:ascii="Times New Roman" w:hAnsi="Times New Roman"/>
          <w:sz w:val="20"/>
        </w:rPr>
        <w:t xml:space="preserve">. The obligations of each Purchaser under any Transaction Document are several and not joint with the obligations of any other Purchaser, and no Purchaser shall be responsible in any way for the performance or non-performance of the obligations of any other Purchaser under any Transaction Document. Nothing contained herein or in any other Transaction Document, and no action taken by any Purchaser pursuant hereto or thereto,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Each Purchaser has been represented by its own separate legal counsel in its review and negotiation of the Transaction Documents. For reasons of administrative convenience only, each Purchaser and its respective counsel have chosen to communicate with the Company through Thompson Hine LLP, the legal counsel of the Placement Agent, and Thompson Hine, as legal counsel of the Placement Agent, does not represent any of the Purchasers and only represents the Placement Agent The Company has elected to provide all Purchasers with the same terms and Transaction Documents for the convenience of the Company and not because it was required or requested to do so by any of the Purchasers. It is expressly understood and agreed that each provision contained in this Agreement and in each other Transaction Document is between the Company and a Purchaser, solely, and not between the Company and the Purchasers collectively and not between and among the Purchasers. </w:t>
      </w:r>
    </w:p>
    <w:p>
      <w:pPr>
        <w:pStyle w:val="TextBody"/>
        <w:bidi w:val="0"/>
        <w:spacing w:before="240" w:after="0"/>
        <w:jc w:val="left"/>
        <w:rPr>
          <w:rFonts w:ascii="Times New Roman" w:hAnsi="Times New Roman"/>
          <w:sz w:val="20"/>
        </w:rPr>
      </w:pPr>
      <w:r>
        <w:rPr>
          <w:rFonts w:ascii="Times New Roman" w:hAnsi="Times New Roman"/>
          <w:sz w:val="20"/>
        </w:rPr>
        <w:t xml:space="preserve">5.18 </w:t>
      </w:r>
      <w:r>
        <w:rPr>
          <w:rFonts w:ascii="Times New Roman" w:hAnsi="Times New Roman"/>
          <w:sz w:val="20"/>
          <w:u w:val="single"/>
        </w:rPr>
        <w:t>Construction</w:t>
      </w:r>
      <w:r>
        <w:rPr>
          <w:rFonts w:ascii="Times New Roman" w:hAnsi="Times New Roman"/>
          <w:sz w:val="20"/>
        </w:rPr>
        <w:t xml:space="preserve">.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shares of Common Stock in any Transaction Document shall be subject to adjustment for reverse and forward stock splits, stock dividends, stock combinations and other similar transactions of the Common Stock that occur after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5.19 </w:t>
      </w:r>
      <w:r>
        <w:rPr>
          <w:rFonts w:ascii="Times New Roman" w:hAnsi="Times New Roman"/>
          <w:b/>
          <w:sz w:val="20"/>
          <w:u w:val="single"/>
        </w:rPr>
        <w:t>WAIVER OF JURY TRIAL</w:t>
      </w:r>
      <w:r>
        <w:rPr>
          <w:rFonts w:ascii="Times New Roman" w:hAnsi="Times New Roman"/>
          <w:b/>
          <w:sz w:val="20"/>
        </w:rPr>
        <w:t xml:space="preserve">. </w:t>
      </w:r>
      <w:r>
        <w:rPr>
          <w:rFonts w:ascii="Times New Roman" w:hAnsi="Times New Roman"/>
          <w:b/>
          <w:sz w:val="20"/>
          <w:u w:val="single"/>
        </w:rPr>
        <w:t>IN ANY ACTION, SUIT, OR PROCEEDING IN ANY JURISDICTION BROUGHT BY ANY PARTY AGAINST ANY OTHER PARTY, THE PARTIES EACH KNOWINGLY AND INTENTIONALLY, TO THE GREATEST EXTENT PERMITTED BY APPLICABLE LAW, HEREBY ABSOLUTELY, UNCONDITIONALLY, IRREVOCABLY AND EXPRESSLY WAIVES FOREVER TRIAL BY JURY.</w:t>
      </w:r>
      <w:r>
        <w:rPr>
          <w:rFonts w:ascii="Times New Roman" w:hAnsi="Times New Roman"/>
          <w:sz w:val="20"/>
        </w:rPr>
        <w:t xml:space="preserve"> </w:t>
      </w:r>
    </w:p>
    <w:p>
      <w:pPr>
        <w:pStyle w:val="TextBody"/>
        <w:bidi w:val="0"/>
        <w:spacing w:before="240" w:after="0"/>
        <w:jc w:val="center"/>
        <w:rPr>
          <w:rFonts w:ascii="Times New Roman" w:hAnsi="Times New Roman"/>
          <w:i/>
          <w:sz w:val="20"/>
        </w:rPr>
      </w:pPr>
      <w:r>
        <w:rPr>
          <w:rFonts w:ascii="Times New Roman" w:hAnsi="Times New Roman"/>
          <w:i/>
          <w:sz w:val="20"/>
        </w:rPr>
        <w:t xml:space="preserve">(Signature Pages Follow)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Securities Purchase Agreement to be duly executed by their respective authorized signatories as of the date first indicated above.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48"/>
        <w:gridCol w:w="121"/>
        <w:gridCol w:w="4779"/>
        <w:gridCol w:w="121"/>
        <w:gridCol w:w="4636"/>
      </w:tblGrid>
      <w:tr>
        <w:trPr/>
        <w:tc>
          <w:tcPr>
            <w:tcW w:w="548"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77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636" w:type="dxa"/>
            <w:tcBorders/>
            <w:vAlign w:val="center"/>
          </w:tcPr>
          <w:p>
            <w:pPr>
              <w:pStyle w:val="TableContents"/>
              <w:bidi w:val="0"/>
              <w:spacing w:before="0" w:after="283"/>
              <w:jc w:val="left"/>
              <w:rPr>
                <w:sz w:val="4"/>
                <w:szCs w:val="4"/>
              </w:rPr>
            </w:pPr>
            <w:r>
              <w:rPr>
                <w:sz w:val="4"/>
                <w:szCs w:val="4"/>
              </w:rPr>
            </w:r>
          </w:p>
        </w:tc>
      </w:tr>
      <w:tr>
        <w:trPr/>
        <w:tc>
          <w:tcPr>
            <w:tcW w:w="5448" w:type="dxa"/>
            <w:gridSpan w:val="3"/>
            <w:tcBorders/>
          </w:tcPr>
          <w:p>
            <w:pPr>
              <w:pStyle w:val="TableContents"/>
              <w:bidi w:val="0"/>
              <w:spacing w:before="0" w:after="283"/>
              <w:jc w:val="left"/>
              <w:rPr>
                <w:b/>
              </w:rPr>
            </w:pPr>
            <w:r>
              <w:rPr>
                <w:b/>
              </w:rPr>
              <w:t>VIVOSIM LABS, INC.</w:t>
            </w:r>
          </w:p>
        </w:tc>
        <w:tc>
          <w:tcPr>
            <w:tcW w:w="121" w:type="dxa"/>
            <w:tcBorders/>
            <w:vAlign w:val="bottom"/>
          </w:tcPr>
          <w:p>
            <w:pPr>
              <w:pStyle w:val="TableContents"/>
              <w:bidi w:val="0"/>
              <w:spacing w:before="0" w:after="283"/>
              <w:jc w:val="left"/>
              <w:rPr/>
            </w:pPr>
            <w:r>
              <w:rPr/>
              <w:t>  </w:t>
            </w:r>
          </w:p>
        </w:tc>
        <w:tc>
          <w:tcPr>
            <w:tcW w:w="463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Address for Notice:</w:t>
            </w:r>
          </w:p>
        </w:tc>
      </w:tr>
      <w:tr>
        <w:trPr/>
        <w:tc>
          <w:tcPr>
            <w:tcW w:w="5448" w:type="dxa"/>
            <w:gridSpan w:val="3"/>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636" w:type="dxa"/>
            <w:tcBorders/>
          </w:tcPr>
          <w:p>
            <w:pPr>
              <w:pStyle w:val="TableContents"/>
              <w:bidi w:val="0"/>
              <w:spacing w:before="0" w:after="0"/>
              <w:jc w:val="left"/>
              <w:rPr>
                <w:rFonts w:ascii="Times New Roman" w:hAnsi="Times New Roman"/>
                <w:sz w:val="20"/>
              </w:rPr>
            </w:pPr>
            <w:r>
              <w:rPr>
                <w:rFonts w:ascii="Times New Roman" w:hAnsi="Times New Roman"/>
                <w:sz w:val="20"/>
              </w:rPr>
              <w:t>11555 Sorrento Valley Rd, Suite 100,</w:t>
            </w:r>
          </w:p>
          <w:p>
            <w:pPr>
              <w:pStyle w:val="TableContents"/>
              <w:bidi w:val="0"/>
              <w:spacing w:before="0" w:after="20"/>
              <w:jc w:val="left"/>
              <w:rPr>
                <w:rFonts w:ascii="Times New Roman" w:hAnsi="Times New Roman"/>
                <w:sz w:val="20"/>
              </w:rPr>
            </w:pPr>
            <w:r>
              <w:rPr>
                <w:rFonts w:ascii="Times New Roman" w:hAnsi="Times New Roman"/>
                <w:sz w:val="20"/>
              </w:rPr>
              <w:t>San Diego, CA 92121</w:t>
            </w:r>
          </w:p>
        </w:tc>
      </w:tr>
      <w:tr>
        <w:trPr/>
        <w:tc>
          <w:tcPr>
            <w:tcW w:w="548" w:type="dxa"/>
            <w:tcBorders/>
          </w:tcPr>
          <w:p>
            <w:pPr>
              <w:pStyle w:val="TableContents"/>
              <w:bidi w:val="0"/>
              <w:spacing w:before="0" w:after="283"/>
              <w:jc w:val="left"/>
              <w:rPr/>
            </w:pPr>
            <w:r>
              <w:rPr/>
              <w:t>By:</w:t>
            </w:r>
          </w:p>
        </w:tc>
        <w:tc>
          <w:tcPr>
            <w:tcW w:w="121" w:type="dxa"/>
            <w:tcBorders/>
            <w:vAlign w:val="bottom"/>
          </w:tcPr>
          <w:p>
            <w:pPr>
              <w:pStyle w:val="TableContents"/>
              <w:bidi w:val="0"/>
              <w:spacing w:before="0" w:after="283"/>
              <w:jc w:val="left"/>
              <w:rPr/>
            </w:pPr>
            <w:r>
              <w:rPr/>
              <w:t>  </w:t>
            </w:r>
          </w:p>
        </w:tc>
        <w:tc>
          <w:tcPr>
            <w:tcW w:w="477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Keith Murphy</w:t>
            </w:r>
          </w:p>
        </w:tc>
        <w:tc>
          <w:tcPr>
            <w:tcW w:w="121" w:type="dxa"/>
            <w:tcBorders/>
            <w:vAlign w:val="bottom"/>
          </w:tcPr>
          <w:p>
            <w:pPr>
              <w:pStyle w:val="TableContents"/>
              <w:bidi w:val="0"/>
              <w:spacing w:before="0" w:after="283"/>
              <w:jc w:val="left"/>
              <w:rPr/>
            </w:pPr>
            <w:r>
              <w:rPr/>
              <w:t>  </w:t>
            </w:r>
          </w:p>
        </w:tc>
        <w:tc>
          <w:tcPr>
            <w:tcW w:w="4636" w:type="dxa"/>
            <w:tcBorders/>
          </w:tcPr>
          <w:p>
            <w:pPr>
              <w:pStyle w:val="TableContents"/>
              <w:bidi w:val="0"/>
              <w:spacing w:before="0" w:after="283"/>
              <w:jc w:val="left"/>
              <w:rPr>
                <w:sz w:val="4"/>
                <w:szCs w:val="4"/>
              </w:rPr>
            </w:pPr>
            <w:r>
              <w:rPr>
                <w:sz w:val="4"/>
                <w:szCs w:val="4"/>
              </w:rPr>
            </w:r>
          </w:p>
        </w:tc>
      </w:tr>
      <w:tr>
        <w:trPr/>
        <w:tc>
          <w:tcPr>
            <w:tcW w:w="548"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779" w:type="dxa"/>
            <w:tcBorders/>
          </w:tcPr>
          <w:p>
            <w:pPr>
              <w:pStyle w:val="TableContents"/>
              <w:bidi w:val="0"/>
              <w:spacing w:before="0" w:after="283"/>
              <w:jc w:val="left"/>
              <w:rPr/>
            </w:pPr>
            <w:r>
              <w:rPr/>
              <w:t>Name: Keith Murphy</w:t>
            </w:r>
          </w:p>
        </w:tc>
        <w:tc>
          <w:tcPr>
            <w:tcW w:w="121" w:type="dxa"/>
            <w:tcBorders/>
            <w:vAlign w:val="bottom"/>
          </w:tcPr>
          <w:p>
            <w:pPr>
              <w:pStyle w:val="TableContents"/>
              <w:bidi w:val="0"/>
              <w:spacing w:before="0" w:after="283"/>
              <w:jc w:val="left"/>
              <w:rPr/>
            </w:pPr>
            <w:r>
              <w:rPr/>
              <w:t>  </w:t>
            </w:r>
          </w:p>
        </w:tc>
        <w:tc>
          <w:tcPr>
            <w:tcW w:w="4636" w:type="dxa"/>
            <w:tcBorders/>
          </w:tcPr>
          <w:p>
            <w:pPr>
              <w:pStyle w:val="TableContents"/>
              <w:bidi w:val="0"/>
              <w:spacing w:before="0" w:after="283"/>
              <w:jc w:val="left"/>
              <w:rPr/>
            </w:pPr>
            <w:r>
              <w:rPr/>
              <w:t>E-mail:</w:t>
            </w:r>
          </w:p>
        </w:tc>
      </w:tr>
      <w:tr>
        <w:trPr/>
        <w:tc>
          <w:tcPr>
            <w:tcW w:w="548"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779" w:type="dxa"/>
            <w:tcBorders/>
          </w:tcPr>
          <w:p>
            <w:pPr>
              <w:pStyle w:val="TableContents"/>
              <w:bidi w:val="0"/>
              <w:spacing w:before="0" w:after="283"/>
              <w:jc w:val="left"/>
              <w:rPr/>
            </w:pPr>
            <w:r>
              <w:rPr/>
              <w:t>Title: Executive Chairman</w:t>
            </w:r>
          </w:p>
        </w:tc>
        <w:tc>
          <w:tcPr>
            <w:tcW w:w="121" w:type="dxa"/>
            <w:tcBorders/>
            <w:vAlign w:val="bottom"/>
          </w:tcPr>
          <w:p>
            <w:pPr>
              <w:pStyle w:val="TableContents"/>
              <w:bidi w:val="0"/>
              <w:spacing w:before="0" w:after="283"/>
              <w:jc w:val="left"/>
              <w:rPr/>
            </w:pPr>
            <w:r>
              <w:rPr/>
              <w:t>  </w:t>
            </w:r>
          </w:p>
        </w:tc>
        <w:tc>
          <w:tcPr>
            <w:tcW w:w="4636"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With a copy to (which shall not constitute notice): </w:t>
      </w:r>
    </w:p>
    <w:p>
      <w:pPr>
        <w:pStyle w:val="TextBody"/>
        <w:bidi w:val="0"/>
        <w:spacing w:before="240" w:after="0"/>
        <w:jc w:val="left"/>
        <w:rPr>
          <w:rFonts w:ascii="Times New Roman" w:hAnsi="Times New Roman"/>
          <w:sz w:val="20"/>
        </w:rPr>
      </w:pPr>
      <w:r>
        <w:rPr>
          <w:rFonts w:ascii="Times New Roman" w:hAnsi="Times New Roman"/>
          <w:sz w:val="20"/>
        </w:rPr>
        <w:t xml:space="preserve">Paul Hastings LLP </w:t>
      </w:r>
    </w:p>
    <w:p>
      <w:pPr>
        <w:pStyle w:val="TextBody"/>
        <w:bidi w:val="0"/>
        <w:spacing w:before="0" w:after="0"/>
        <w:jc w:val="left"/>
        <w:rPr>
          <w:rFonts w:ascii="Times New Roman" w:hAnsi="Times New Roman"/>
          <w:sz w:val="20"/>
        </w:rPr>
      </w:pPr>
      <w:r>
        <w:rPr>
          <w:rFonts w:ascii="Times New Roman" w:hAnsi="Times New Roman"/>
          <w:sz w:val="20"/>
        </w:rPr>
        <w:t xml:space="preserve">1117 S. California Avenue </w:t>
      </w:r>
    </w:p>
    <w:p>
      <w:pPr>
        <w:pStyle w:val="TextBody"/>
        <w:bidi w:val="0"/>
        <w:spacing w:before="0" w:after="0"/>
        <w:jc w:val="left"/>
        <w:rPr>
          <w:rFonts w:ascii="Times New Roman" w:hAnsi="Times New Roman"/>
          <w:sz w:val="20"/>
        </w:rPr>
      </w:pPr>
      <w:r>
        <w:rPr>
          <w:rFonts w:ascii="Times New Roman" w:hAnsi="Times New Roman"/>
          <w:sz w:val="20"/>
        </w:rPr>
        <w:t xml:space="preserve">Palo Alto, CA 94304-1106 </w:t>
      </w:r>
    </w:p>
    <w:p>
      <w:pPr>
        <w:pStyle w:val="TextBody"/>
        <w:bidi w:val="0"/>
        <w:spacing w:before="0" w:after="0"/>
        <w:jc w:val="left"/>
        <w:rPr>
          <w:rFonts w:ascii="Times New Roman" w:hAnsi="Times New Roman"/>
          <w:sz w:val="20"/>
        </w:rPr>
      </w:pPr>
      <w:r>
        <w:rPr>
          <w:rFonts w:ascii="Times New Roman" w:hAnsi="Times New Roman"/>
          <w:sz w:val="20"/>
        </w:rPr>
        <w:t xml:space="preserve">Attn: Jeff Hartlin; Samantha Eldredge </w:t>
      </w:r>
    </w:p>
    <w:p>
      <w:pPr>
        <w:pStyle w:val="TextBody"/>
        <w:bidi w:val="0"/>
        <w:spacing w:before="0" w:after="0"/>
        <w:jc w:val="left"/>
        <w:rPr>
          <w:rFonts w:ascii="Times New Roman" w:hAnsi="Times New Roman"/>
          <w:sz w:val="20"/>
        </w:rPr>
      </w:pPr>
      <w:r>
        <w:rPr>
          <w:rFonts w:ascii="Times New Roman" w:hAnsi="Times New Roman"/>
          <w:sz w:val="20"/>
        </w:rPr>
        <w:t xml:space="preserve">Email: </w:t>
      </w:r>
      <w:r>
        <w:rPr>
          <w:rFonts w:ascii="Times New Roman" w:hAnsi="Times New Roman"/>
          <w:sz w:val="20"/>
          <w:u w:val="single"/>
        </w:rPr>
        <w:t>jeffhartlin@paulhastings.com</w:t>
      </w:r>
      <w:r>
        <w:rPr>
          <w:rFonts w:ascii="Times New Roman" w:hAnsi="Times New Roman"/>
          <w:sz w:val="20"/>
        </w:rPr>
        <w:t xml:space="preserve">; samanthaeldredge@paulhastings.com </w:t>
      </w:r>
    </w:p>
    <w:p>
      <w:pPr>
        <w:pStyle w:val="TextBody"/>
        <w:bidi w:val="0"/>
        <w:spacing w:before="240" w:after="0"/>
        <w:jc w:val="center"/>
        <w:rPr>
          <w:rFonts w:ascii="Times New Roman" w:hAnsi="Times New Roman"/>
          <w:sz w:val="20"/>
        </w:rPr>
      </w:pPr>
      <w:r>
        <w:rPr>
          <w:rFonts w:ascii="Times New Roman" w:hAnsi="Times New Roman"/>
          <w:sz w:val="20"/>
        </w:rPr>
        <w:t xml:space="preserve">[REMAINDER OF PAGE INTENTIONALLY LEFT BLANK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FOR PURCHASER FOLLOWS]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[PURCHASER SIGNATURE PAGES TO SECURITIES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IN WITNESS WHEREOF, the undersigned have caused this Securities Purchase Agreement to be duly executed by their respective authorized signatories as of the date first indicated above.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90"/>
        <w:gridCol w:w="102"/>
        <w:gridCol w:w="613"/>
      </w:tblGrid>
      <w:tr>
        <w:trPr/>
        <w:tc>
          <w:tcPr>
            <w:tcW w:w="9490"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9490" w:type="dxa"/>
            <w:tcBorders/>
          </w:tcPr>
          <w:p>
            <w:pPr>
              <w:pStyle w:val="TableContents"/>
              <w:bidi w:val="0"/>
              <w:spacing w:before="0" w:after="283"/>
              <w:jc w:val="left"/>
              <w:rPr/>
            </w:pPr>
            <w:r>
              <w:rPr/>
              <w:t>Name of Purchaser:</w:t>
            </w:r>
          </w:p>
        </w:tc>
        <w:tc>
          <w:tcPr>
            <w:tcW w:w="102" w:type="dxa"/>
            <w:tcBorders/>
            <w:vAlign w:val="bottom"/>
          </w:tcPr>
          <w:p>
            <w:pPr>
              <w:pStyle w:val="TableContents"/>
              <w:bidi w:val="0"/>
              <w:spacing w:before="0" w:after="283"/>
              <w:jc w:val="left"/>
              <w:rPr/>
            </w:pPr>
            <w:r>
              <w:rPr/>
              <w:t> </w:t>
            </w:r>
          </w:p>
        </w:tc>
        <w:tc>
          <w:tcPr>
            <w:tcW w:w="613" w:type="dxa"/>
            <w:tcBorders/>
          </w:tcPr>
          <w:p>
            <w:pPr>
              <w:pStyle w:val="TableContents"/>
              <w:bidi w:val="0"/>
              <w:spacing w:before="0" w:after="283"/>
              <w:jc w:val="left"/>
              <w:rPr>
                <w:u w:val="single"/>
              </w:rPr>
            </w:pPr>
            <w:r>
              <w:rPr>
                <w:u w:val="single"/>
              </w:rPr>
              <w:t>   </w:t>
            </w:r>
          </w:p>
        </w:tc>
      </w:tr>
      <w:tr>
        <w:trPr>
          <w:trHeight w:val="120" w:hRule="atLeast"/>
        </w:trPr>
        <w:tc>
          <w:tcPr>
            <w:tcW w:w="9490" w:type="dxa"/>
            <w:tcBorders/>
            <w:vAlign w:val="center"/>
          </w:tcPr>
          <w:p>
            <w:pPr>
              <w:pStyle w:val="TableContents"/>
              <w:bidi w:val="0"/>
              <w:spacing w:before="0" w:after="283"/>
              <w:jc w:val="left"/>
              <w:rPr>
                <w:sz w:val="4"/>
                <w:szCs w:val="4"/>
              </w:rPr>
            </w:pPr>
            <w:r>
              <w:rPr>
                <w:sz w:val="4"/>
                <w:szCs w:val="4"/>
              </w:rPr>
            </w:r>
          </w:p>
        </w:tc>
        <w:tc>
          <w:tcPr>
            <w:tcW w:w="715" w:type="dxa"/>
            <w:gridSpan w:val="2"/>
            <w:tcBorders/>
            <w:vAlign w:val="center"/>
          </w:tcPr>
          <w:p>
            <w:pPr>
              <w:pStyle w:val="TableContents"/>
              <w:bidi w:val="0"/>
              <w:spacing w:before="0" w:after="283"/>
              <w:jc w:val="left"/>
              <w:rPr>
                <w:sz w:val="4"/>
                <w:szCs w:val="4"/>
              </w:rPr>
            </w:pPr>
            <w:r>
              <w:rPr>
                <w:sz w:val="4"/>
                <w:szCs w:val="4"/>
              </w:rPr>
            </w:r>
          </w:p>
        </w:tc>
      </w:tr>
      <w:tr>
        <w:trPr/>
        <w:tc>
          <w:tcPr>
            <w:tcW w:w="9490" w:type="dxa"/>
            <w:tcBorders/>
          </w:tcPr>
          <w:p>
            <w:pPr>
              <w:pStyle w:val="TableContents"/>
              <w:bidi w:val="0"/>
              <w:spacing w:before="0" w:after="283"/>
              <w:jc w:val="left"/>
              <w:rPr/>
            </w:pPr>
            <w:r>
              <w:rPr>
                <w:i/>
              </w:rPr>
              <w:t>Signature of Authorized Signatory of Purchaser</w:t>
            </w:r>
            <w:r>
              <w:rPr/>
              <w:t>:</w:t>
            </w:r>
          </w:p>
        </w:tc>
        <w:tc>
          <w:tcPr>
            <w:tcW w:w="102" w:type="dxa"/>
            <w:tcBorders/>
            <w:vAlign w:val="bottom"/>
          </w:tcPr>
          <w:p>
            <w:pPr>
              <w:pStyle w:val="TableContents"/>
              <w:bidi w:val="0"/>
              <w:spacing w:before="0" w:after="283"/>
              <w:jc w:val="left"/>
              <w:rPr/>
            </w:pPr>
            <w:r>
              <w:rPr/>
              <w:t> </w:t>
            </w:r>
          </w:p>
        </w:tc>
        <w:tc>
          <w:tcPr>
            <w:tcW w:w="613" w:type="dxa"/>
            <w:tcBorders/>
          </w:tcPr>
          <w:p>
            <w:pPr>
              <w:pStyle w:val="TableContents"/>
              <w:bidi w:val="0"/>
              <w:spacing w:before="0" w:after="283"/>
              <w:jc w:val="left"/>
              <w:rPr>
                <w:u w:val="single"/>
              </w:rPr>
            </w:pPr>
            <w:r>
              <w:rPr>
                <w:u w:val="single"/>
              </w:rPr>
              <w:t>   </w:t>
            </w:r>
          </w:p>
        </w:tc>
      </w:tr>
      <w:tr>
        <w:trPr>
          <w:trHeight w:val="120" w:hRule="atLeast"/>
        </w:trPr>
        <w:tc>
          <w:tcPr>
            <w:tcW w:w="9490" w:type="dxa"/>
            <w:tcBorders/>
            <w:vAlign w:val="center"/>
          </w:tcPr>
          <w:p>
            <w:pPr>
              <w:pStyle w:val="TableContents"/>
              <w:bidi w:val="0"/>
              <w:spacing w:before="0" w:after="283"/>
              <w:jc w:val="left"/>
              <w:rPr>
                <w:sz w:val="4"/>
                <w:szCs w:val="4"/>
              </w:rPr>
            </w:pPr>
            <w:r>
              <w:rPr>
                <w:sz w:val="4"/>
                <w:szCs w:val="4"/>
              </w:rPr>
            </w:r>
          </w:p>
        </w:tc>
        <w:tc>
          <w:tcPr>
            <w:tcW w:w="715" w:type="dxa"/>
            <w:gridSpan w:val="2"/>
            <w:tcBorders/>
            <w:vAlign w:val="center"/>
          </w:tcPr>
          <w:p>
            <w:pPr>
              <w:pStyle w:val="TableContents"/>
              <w:bidi w:val="0"/>
              <w:spacing w:before="0" w:after="283"/>
              <w:jc w:val="left"/>
              <w:rPr>
                <w:sz w:val="4"/>
                <w:szCs w:val="4"/>
              </w:rPr>
            </w:pPr>
            <w:r>
              <w:rPr>
                <w:sz w:val="4"/>
                <w:szCs w:val="4"/>
              </w:rPr>
            </w:r>
          </w:p>
        </w:tc>
      </w:tr>
      <w:tr>
        <w:trPr/>
        <w:tc>
          <w:tcPr>
            <w:tcW w:w="9490" w:type="dxa"/>
            <w:tcBorders/>
          </w:tcPr>
          <w:p>
            <w:pPr>
              <w:pStyle w:val="TableContents"/>
              <w:bidi w:val="0"/>
              <w:spacing w:before="0" w:after="283"/>
              <w:jc w:val="left"/>
              <w:rPr/>
            </w:pPr>
            <w:r>
              <w:rPr/>
              <w:t>Name of Authorized Signatory:</w:t>
            </w:r>
          </w:p>
        </w:tc>
        <w:tc>
          <w:tcPr>
            <w:tcW w:w="102" w:type="dxa"/>
            <w:tcBorders/>
            <w:vAlign w:val="bottom"/>
          </w:tcPr>
          <w:p>
            <w:pPr>
              <w:pStyle w:val="TableContents"/>
              <w:bidi w:val="0"/>
              <w:spacing w:before="0" w:after="283"/>
              <w:jc w:val="left"/>
              <w:rPr/>
            </w:pPr>
            <w:r>
              <w:rPr/>
              <w:t> </w:t>
            </w:r>
          </w:p>
        </w:tc>
        <w:tc>
          <w:tcPr>
            <w:tcW w:w="613" w:type="dxa"/>
            <w:tcBorders/>
          </w:tcPr>
          <w:p>
            <w:pPr>
              <w:pStyle w:val="TableContents"/>
              <w:bidi w:val="0"/>
              <w:spacing w:before="0" w:after="283"/>
              <w:jc w:val="left"/>
              <w:rPr>
                <w:u w:val="single"/>
              </w:rPr>
            </w:pPr>
            <w:r>
              <w:rPr>
                <w:u w:val="single"/>
              </w:rPr>
              <w:t>   </w:t>
            </w:r>
          </w:p>
        </w:tc>
      </w:tr>
      <w:tr>
        <w:trPr>
          <w:trHeight w:val="120" w:hRule="atLeast"/>
        </w:trPr>
        <w:tc>
          <w:tcPr>
            <w:tcW w:w="9490" w:type="dxa"/>
            <w:tcBorders/>
            <w:vAlign w:val="center"/>
          </w:tcPr>
          <w:p>
            <w:pPr>
              <w:pStyle w:val="TableContents"/>
              <w:bidi w:val="0"/>
              <w:spacing w:before="0" w:after="283"/>
              <w:jc w:val="left"/>
              <w:rPr>
                <w:sz w:val="4"/>
                <w:szCs w:val="4"/>
              </w:rPr>
            </w:pPr>
            <w:r>
              <w:rPr>
                <w:sz w:val="4"/>
                <w:szCs w:val="4"/>
              </w:rPr>
            </w:r>
          </w:p>
        </w:tc>
        <w:tc>
          <w:tcPr>
            <w:tcW w:w="715" w:type="dxa"/>
            <w:gridSpan w:val="2"/>
            <w:tcBorders/>
            <w:vAlign w:val="center"/>
          </w:tcPr>
          <w:p>
            <w:pPr>
              <w:pStyle w:val="TableContents"/>
              <w:bidi w:val="0"/>
              <w:spacing w:before="0" w:after="283"/>
              <w:jc w:val="left"/>
              <w:rPr>
                <w:sz w:val="4"/>
                <w:szCs w:val="4"/>
              </w:rPr>
            </w:pPr>
            <w:r>
              <w:rPr>
                <w:sz w:val="4"/>
                <w:szCs w:val="4"/>
              </w:rPr>
            </w:r>
          </w:p>
        </w:tc>
      </w:tr>
      <w:tr>
        <w:trPr/>
        <w:tc>
          <w:tcPr>
            <w:tcW w:w="9490" w:type="dxa"/>
            <w:tcBorders/>
          </w:tcPr>
          <w:p>
            <w:pPr>
              <w:pStyle w:val="TableContents"/>
              <w:bidi w:val="0"/>
              <w:spacing w:before="0" w:after="283"/>
              <w:jc w:val="left"/>
              <w:rPr/>
            </w:pPr>
            <w:r>
              <w:rPr/>
              <w:t>Title of Authorized Signatory:</w:t>
            </w:r>
          </w:p>
        </w:tc>
        <w:tc>
          <w:tcPr>
            <w:tcW w:w="102" w:type="dxa"/>
            <w:tcBorders/>
            <w:vAlign w:val="bottom"/>
          </w:tcPr>
          <w:p>
            <w:pPr>
              <w:pStyle w:val="TableContents"/>
              <w:bidi w:val="0"/>
              <w:spacing w:before="0" w:after="283"/>
              <w:jc w:val="left"/>
              <w:rPr/>
            </w:pPr>
            <w:r>
              <w:rPr/>
              <w:t> </w:t>
            </w:r>
          </w:p>
        </w:tc>
        <w:tc>
          <w:tcPr>
            <w:tcW w:w="613" w:type="dxa"/>
            <w:tcBorders/>
          </w:tcPr>
          <w:p>
            <w:pPr>
              <w:pStyle w:val="TableContents"/>
              <w:bidi w:val="0"/>
              <w:spacing w:before="0" w:after="283"/>
              <w:jc w:val="left"/>
              <w:rPr>
                <w:u w:val="single"/>
              </w:rPr>
            </w:pPr>
            <w:r>
              <w:rPr>
                <w:u w:val="single"/>
              </w:rPr>
              <w:t>   </w:t>
            </w:r>
          </w:p>
        </w:tc>
      </w:tr>
      <w:tr>
        <w:trPr>
          <w:trHeight w:val="120" w:hRule="atLeast"/>
        </w:trPr>
        <w:tc>
          <w:tcPr>
            <w:tcW w:w="9490" w:type="dxa"/>
            <w:tcBorders/>
            <w:vAlign w:val="center"/>
          </w:tcPr>
          <w:p>
            <w:pPr>
              <w:pStyle w:val="TableContents"/>
              <w:bidi w:val="0"/>
              <w:spacing w:before="0" w:after="283"/>
              <w:jc w:val="left"/>
              <w:rPr>
                <w:sz w:val="4"/>
                <w:szCs w:val="4"/>
              </w:rPr>
            </w:pPr>
            <w:r>
              <w:rPr>
                <w:sz w:val="4"/>
                <w:szCs w:val="4"/>
              </w:rPr>
            </w:r>
          </w:p>
        </w:tc>
        <w:tc>
          <w:tcPr>
            <w:tcW w:w="715" w:type="dxa"/>
            <w:gridSpan w:val="2"/>
            <w:tcBorders/>
            <w:vAlign w:val="center"/>
          </w:tcPr>
          <w:p>
            <w:pPr>
              <w:pStyle w:val="TableContents"/>
              <w:bidi w:val="0"/>
              <w:spacing w:before="0" w:after="283"/>
              <w:jc w:val="left"/>
              <w:rPr>
                <w:sz w:val="4"/>
                <w:szCs w:val="4"/>
              </w:rPr>
            </w:pPr>
            <w:r>
              <w:rPr>
                <w:sz w:val="4"/>
                <w:szCs w:val="4"/>
              </w:rPr>
            </w:r>
          </w:p>
        </w:tc>
      </w:tr>
      <w:tr>
        <w:trPr/>
        <w:tc>
          <w:tcPr>
            <w:tcW w:w="9490" w:type="dxa"/>
            <w:tcBorders/>
          </w:tcPr>
          <w:p>
            <w:pPr>
              <w:pStyle w:val="TableContents"/>
              <w:bidi w:val="0"/>
              <w:spacing w:before="0" w:after="283"/>
              <w:jc w:val="left"/>
              <w:rPr/>
            </w:pPr>
            <w:r>
              <w:rPr/>
              <w:t>Email Address of Authorized Signatory:</w:t>
            </w:r>
          </w:p>
        </w:tc>
        <w:tc>
          <w:tcPr>
            <w:tcW w:w="102" w:type="dxa"/>
            <w:tcBorders/>
            <w:vAlign w:val="bottom"/>
          </w:tcPr>
          <w:p>
            <w:pPr>
              <w:pStyle w:val="TableContents"/>
              <w:bidi w:val="0"/>
              <w:spacing w:before="0" w:after="283"/>
              <w:jc w:val="left"/>
              <w:rPr/>
            </w:pPr>
            <w:r>
              <w:rPr/>
              <w:t> </w:t>
            </w:r>
          </w:p>
        </w:tc>
        <w:tc>
          <w:tcPr>
            <w:tcW w:w="613" w:type="dxa"/>
            <w:tcBorders/>
          </w:tcPr>
          <w:p>
            <w:pPr>
              <w:pStyle w:val="TableContents"/>
              <w:bidi w:val="0"/>
              <w:spacing w:before="0" w:after="283"/>
              <w:jc w:val="left"/>
              <w:rPr>
                <w:u w:val="single"/>
              </w:rPr>
            </w:pPr>
            <w:r>
              <w:rPr>
                <w:u w:val="single"/>
              </w:rPr>
              <w:t>   </w:t>
            </w:r>
          </w:p>
        </w:tc>
      </w:tr>
      <w:tr>
        <w:trPr>
          <w:trHeight w:val="120" w:hRule="atLeast"/>
        </w:trPr>
        <w:tc>
          <w:tcPr>
            <w:tcW w:w="9490" w:type="dxa"/>
            <w:tcBorders/>
            <w:vAlign w:val="center"/>
          </w:tcPr>
          <w:p>
            <w:pPr>
              <w:pStyle w:val="TableContents"/>
              <w:bidi w:val="0"/>
              <w:spacing w:before="0" w:after="283"/>
              <w:jc w:val="left"/>
              <w:rPr>
                <w:sz w:val="4"/>
                <w:szCs w:val="4"/>
              </w:rPr>
            </w:pPr>
            <w:r>
              <w:rPr>
                <w:sz w:val="4"/>
                <w:szCs w:val="4"/>
              </w:rPr>
            </w:r>
          </w:p>
        </w:tc>
        <w:tc>
          <w:tcPr>
            <w:tcW w:w="715" w:type="dxa"/>
            <w:gridSpan w:val="2"/>
            <w:tcBorders/>
            <w:vAlign w:val="center"/>
          </w:tcPr>
          <w:p>
            <w:pPr>
              <w:pStyle w:val="TableContents"/>
              <w:bidi w:val="0"/>
              <w:spacing w:before="0" w:after="283"/>
              <w:jc w:val="left"/>
              <w:rPr>
                <w:sz w:val="4"/>
                <w:szCs w:val="4"/>
              </w:rPr>
            </w:pPr>
            <w:r>
              <w:rPr>
                <w:sz w:val="4"/>
                <w:szCs w:val="4"/>
              </w:rPr>
            </w:r>
          </w:p>
        </w:tc>
      </w:tr>
      <w:tr>
        <w:trPr/>
        <w:tc>
          <w:tcPr>
            <w:tcW w:w="9490" w:type="dxa"/>
            <w:tcBorders/>
          </w:tcPr>
          <w:p>
            <w:pPr>
              <w:pStyle w:val="TableContents"/>
              <w:bidi w:val="0"/>
              <w:spacing w:before="0" w:after="283"/>
              <w:jc w:val="left"/>
              <w:rPr/>
            </w:pPr>
            <w:r>
              <w:rPr/>
              <w:t>Facsimile Number of Authorized Signatory:</w:t>
            </w:r>
          </w:p>
        </w:tc>
        <w:tc>
          <w:tcPr>
            <w:tcW w:w="102" w:type="dxa"/>
            <w:tcBorders/>
            <w:vAlign w:val="bottom"/>
          </w:tcPr>
          <w:p>
            <w:pPr>
              <w:pStyle w:val="TableContents"/>
              <w:bidi w:val="0"/>
              <w:spacing w:before="0" w:after="283"/>
              <w:jc w:val="left"/>
              <w:rPr/>
            </w:pPr>
            <w:r>
              <w:rPr/>
              <w:t> </w:t>
            </w:r>
          </w:p>
        </w:tc>
        <w:tc>
          <w:tcPr>
            <w:tcW w:w="613" w:type="dxa"/>
            <w:tcBorders/>
          </w:tcPr>
          <w:p>
            <w:pPr>
              <w:pStyle w:val="TableContents"/>
              <w:bidi w:val="0"/>
              <w:spacing w:before="0" w:after="283"/>
              <w:jc w:val="left"/>
              <w:rPr>
                <w:u w:val="single"/>
              </w:rPr>
            </w:pPr>
            <w:r>
              <w:rPr>
                <w:u w:val="single"/>
              </w:rPr>
              <w:t>   </w:t>
            </w:r>
          </w:p>
        </w:tc>
      </w:tr>
      <w:tr>
        <w:trPr>
          <w:trHeight w:val="120" w:hRule="atLeast"/>
        </w:trPr>
        <w:tc>
          <w:tcPr>
            <w:tcW w:w="9490" w:type="dxa"/>
            <w:tcBorders/>
            <w:vAlign w:val="center"/>
          </w:tcPr>
          <w:p>
            <w:pPr>
              <w:pStyle w:val="TableContents"/>
              <w:bidi w:val="0"/>
              <w:spacing w:before="0" w:after="283"/>
              <w:jc w:val="left"/>
              <w:rPr>
                <w:sz w:val="4"/>
                <w:szCs w:val="4"/>
              </w:rPr>
            </w:pPr>
            <w:r>
              <w:rPr>
                <w:sz w:val="4"/>
                <w:szCs w:val="4"/>
              </w:rPr>
            </w:r>
          </w:p>
        </w:tc>
        <w:tc>
          <w:tcPr>
            <w:tcW w:w="715" w:type="dxa"/>
            <w:gridSpan w:val="2"/>
            <w:tcBorders/>
            <w:vAlign w:val="center"/>
          </w:tcPr>
          <w:p>
            <w:pPr>
              <w:pStyle w:val="TableContents"/>
              <w:bidi w:val="0"/>
              <w:spacing w:before="0" w:after="283"/>
              <w:jc w:val="left"/>
              <w:rPr>
                <w:sz w:val="4"/>
                <w:szCs w:val="4"/>
              </w:rPr>
            </w:pPr>
            <w:r>
              <w:rPr>
                <w:sz w:val="4"/>
                <w:szCs w:val="4"/>
              </w:rPr>
            </w:r>
          </w:p>
        </w:tc>
      </w:tr>
      <w:tr>
        <w:trPr/>
        <w:tc>
          <w:tcPr>
            <w:tcW w:w="9490" w:type="dxa"/>
            <w:tcBorders/>
          </w:tcPr>
          <w:p>
            <w:pPr>
              <w:pStyle w:val="TableContents"/>
              <w:bidi w:val="0"/>
              <w:spacing w:before="0" w:after="283"/>
              <w:jc w:val="left"/>
              <w:rPr/>
            </w:pPr>
            <w:r>
              <w:rPr/>
              <w:t>Address for Notice to Purchaser:</w:t>
            </w:r>
          </w:p>
        </w:tc>
        <w:tc>
          <w:tcPr>
            <w:tcW w:w="102" w:type="dxa"/>
            <w:tcBorders/>
            <w:vAlign w:val="bottom"/>
          </w:tcPr>
          <w:p>
            <w:pPr>
              <w:pStyle w:val="TableContents"/>
              <w:bidi w:val="0"/>
              <w:spacing w:before="0" w:after="283"/>
              <w:jc w:val="left"/>
              <w:rPr/>
            </w:pPr>
            <w:r>
              <w:rPr/>
              <w:t> </w:t>
            </w:r>
          </w:p>
        </w:tc>
        <w:tc>
          <w:tcPr>
            <w:tcW w:w="613" w:type="dxa"/>
            <w:tcBorders/>
          </w:tcPr>
          <w:p>
            <w:pPr>
              <w:pStyle w:val="TableContents"/>
              <w:bidi w:val="0"/>
              <w:spacing w:before="0" w:after="283"/>
              <w:jc w:val="left"/>
              <w:rPr>
                <w:u w:val="single"/>
              </w:rPr>
            </w:pPr>
            <w:r>
              <w:rPr>
                <w:u w:val="single"/>
              </w:rPr>
              <w:t>   </w:t>
            </w:r>
          </w:p>
        </w:tc>
      </w:tr>
      <w:tr>
        <w:trPr>
          <w:trHeight w:val="120" w:hRule="atLeast"/>
        </w:trPr>
        <w:tc>
          <w:tcPr>
            <w:tcW w:w="9490" w:type="dxa"/>
            <w:tcBorders/>
            <w:vAlign w:val="center"/>
          </w:tcPr>
          <w:p>
            <w:pPr>
              <w:pStyle w:val="TableContents"/>
              <w:bidi w:val="0"/>
              <w:spacing w:before="0" w:after="283"/>
              <w:jc w:val="left"/>
              <w:rPr>
                <w:sz w:val="4"/>
                <w:szCs w:val="4"/>
              </w:rPr>
            </w:pPr>
            <w:r>
              <w:rPr>
                <w:sz w:val="4"/>
                <w:szCs w:val="4"/>
              </w:rPr>
            </w:r>
          </w:p>
        </w:tc>
        <w:tc>
          <w:tcPr>
            <w:tcW w:w="715" w:type="dxa"/>
            <w:gridSpan w:val="2"/>
            <w:tcBorders/>
            <w:vAlign w:val="center"/>
          </w:tcPr>
          <w:p>
            <w:pPr>
              <w:pStyle w:val="TableContents"/>
              <w:bidi w:val="0"/>
              <w:spacing w:before="0" w:after="283"/>
              <w:jc w:val="left"/>
              <w:rPr>
                <w:sz w:val="4"/>
                <w:szCs w:val="4"/>
              </w:rPr>
            </w:pPr>
            <w:r>
              <w:rPr>
                <w:sz w:val="4"/>
                <w:szCs w:val="4"/>
              </w:rPr>
            </w:r>
          </w:p>
        </w:tc>
      </w:tr>
      <w:tr>
        <w:trPr/>
        <w:tc>
          <w:tcPr>
            <w:tcW w:w="9490" w:type="dxa"/>
            <w:tcBorders/>
          </w:tcPr>
          <w:p>
            <w:pPr>
              <w:pStyle w:val="TableContents"/>
              <w:bidi w:val="0"/>
              <w:spacing w:before="0" w:after="283"/>
              <w:jc w:val="left"/>
              <w:rPr/>
            </w:pPr>
            <w:r>
              <w:rPr/>
              <w:t>Address for Delivery of Warrants to Purchaser (if not same as address for notice):</w:t>
            </w:r>
          </w:p>
        </w:tc>
        <w:tc>
          <w:tcPr>
            <w:tcW w:w="102" w:type="dxa"/>
            <w:tcBorders/>
            <w:vAlign w:val="bottom"/>
          </w:tcPr>
          <w:p>
            <w:pPr>
              <w:pStyle w:val="TableContents"/>
              <w:bidi w:val="0"/>
              <w:spacing w:before="0" w:after="283"/>
              <w:jc w:val="left"/>
              <w:rPr/>
            </w:pPr>
            <w:r>
              <w:rPr/>
              <w:t> </w:t>
            </w:r>
          </w:p>
        </w:tc>
        <w:tc>
          <w:tcPr>
            <w:tcW w:w="613" w:type="dxa"/>
            <w:tcBorders/>
          </w:tcPr>
          <w:p>
            <w:pPr>
              <w:pStyle w:val="TableContents"/>
              <w:bidi w:val="0"/>
              <w:spacing w:before="0" w:after="283"/>
              <w:jc w:val="left"/>
              <w:rPr>
                <w:u w:val="single"/>
              </w:rPr>
            </w:pPr>
            <w:r>
              <w:rPr>
                <w:u w:val="single"/>
              </w:rPr>
              <w:t>   </w:t>
            </w:r>
          </w:p>
        </w:tc>
      </w:tr>
      <w:tr>
        <w:trPr>
          <w:trHeight w:val="120" w:hRule="atLeast"/>
        </w:trPr>
        <w:tc>
          <w:tcPr>
            <w:tcW w:w="9490" w:type="dxa"/>
            <w:tcBorders/>
            <w:vAlign w:val="center"/>
          </w:tcPr>
          <w:p>
            <w:pPr>
              <w:pStyle w:val="TableContents"/>
              <w:bidi w:val="0"/>
              <w:spacing w:before="0" w:after="283"/>
              <w:jc w:val="left"/>
              <w:rPr>
                <w:sz w:val="4"/>
                <w:szCs w:val="4"/>
              </w:rPr>
            </w:pPr>
            <w:r>
              <w:rPr>
                <w:sz w:val="4"/>
                <w:szCs w:val="4"/>
              </w:rPr>
            </w:r>
          </w:p>
        </w:tc>
        <w:tc>
          <w:tcPr>
            <w:tcW w:w="715" w:type="dxa"/>
            <w:gridSpan w:val="2"/>
            <w:tcBorders/>
            <w:vAlign w:val="center"/>
          </w:tcPr>
          <w:p>
            <w:pPr>
              <w:pStyle w:val="TableContents"/>
              <w:bidi w:val="0"/>
              <w:spacing w:before="0" w:after="283"/>
              <w:jc w:val="left"/>
              <w:rPr>
                <w:sz w:val="4"/>
                <w:szCs w:val="4"/>
              </w:rPr>
            </w:pPr>
            <w:r>
              <w:rPr>
                <w:sz w:val="4"/>
                <w:szCs w:val="4"/>
              </w:rPr>
            </w:r>
          </w:p>
        </w:tc>
      </w:tr>
      <w:tr>
        <w:trPr/>
        <w:tc>
          <w:tcPr>
            <w:tcW w:w="9490" w:type="dxa"/>
            <w:tcBorders/>
          </w:tcPr>
          <w:p>
            <w:pPr>
              <w:pStyle w:val="TableContents"/>
              <w:bidi w:val="0"/>
              <w:spacing w:before="0" w:after="283"/>
              <w:jc w:val="left"/>
              <w:rPr/>
            </w:pPr>
            <w:r>
              <w:rPr/>
              <w:t>Subscription Amount: $</w:t>
            </w:r>
          </w:p>
        </w:tc>
        <w:tc>
          <w:tcPr>
            <w:tcW w:w="102" w:type="dxa"/>
            <w:tcBorders/>
            <w:vAlign w:val="bottom"/>
          </w:tcPr>
          <w:p>
            <w:pPr>
              <w:pStyle w:val="TableContents"/>
              <w:bidi w:val="0"/>
              <w:spacing w:before="0" w:after="283"/>
              <w:jc w:val="left"/>
              <w:rPr/>
            </w:pPr>
            <w:r>
              <w:rPr/>
              <w:t> </w:t>
            </w:r>
          </w:p>
        </w:tc>
        <w:tc>
          <w:tcPr>
            <w:tcW w:w="613" w:type="dxa"/>
            <w:tcBorders/>
          </w:tcPr>
          <w:p>
            <w:pPr>
              <w:pStyle w:val="TableContents"/>
              <w:bidi w:val="0"/>
              <w:spacing w:before="0" w:after="283"/>
              <w:jc w:val="left"/>
              <w:rPr>
                <w:u w:val="single"/>
              </w:rPr>
            </w:pPr>
            <w:r>
              <w:rPr>
                <w:u w:val="single"/>
              </w:rPr>
              <w:t>   </w:t>
            </w:r>
          </w:p>
        </w:tc>
      </w:tr>
      <w:tr>
        <w:trPr>
          <w:trHeight w:val="120" w:hRule="atLeast"/>
        </w:trPr>
        <w:tc>
          <w:tcPr>
            <w:tcW w:w="9490" w:type="dxa"/>
            <w:tcBorders/>
            <w:vAlign w:val="center"/>
          </w:tcPr>
          <w:p>
            <w:pPr>
              <w:pStyle w:val="TableContents"/>
              <w:bidi w:val="0"/>
              <w:spacing w:before="0" w:after="283"/>
              <w:jc w:val="left"/>
              <w:rPr>
                <w:sz w:val="4"/>
                <w:szCs w:val="4"/>
              </w:rPr>
            </w:pPr>
            <w:r>
              <w:rPr>
                <w:sz w:val="4"/>
                <w:szCs w:val="4"/>
              </w:rPr>
            </w:r>
          </w:p>
        </w:tc>
        <w:tc>
          <w:tcPr>
            <w:tcW w:w="715" w:type="dxa"/>
            <w:gridSpan w:val="2"/>
            <w:tcBorders/>
            <w:vAlign w:val="center"/>
          </w:tcPr>
          <w:p>
            <w:pPr>
              <w:pStyle w:val="TableContents"/>
              <w:bidi w:val="0"/>
              <w:spacing w:before="0" w:after="283"/>
              <w:jc w:val="left"/>
              <w:rPr>
                <w:sz w:val="4"/>
                <w:szCs w:val="4"/>
              </w:rPr>
            </w:pPr>
            <w:r>
              <w:rPr>
                <w:sz w:val="4"/>
                <w:szCs w:val="4"/>
              </w:rPr>
            </w:r>
          </w:p>
        </w:tc>
      </w:tr>
      <w:tr>
        <w:trPr/>
        <w:tc>
          <w:tcPr>
            <w:tcW w:w="9490" w:type="dxa"/>
            <w:tcBorders/>
          </w:tcPr>
          <w:p>
            <w:pPr>
              <w:pStyle w:val="TableContents"/>
              <w:bidi w:val="0"/>
              <w:spacing w:before="0" w:after="283"/>
              <w:jc w:val="left"/>
              <w:rPr/>
            </w:pPr>
            <w:r>
              <w:rPr/>
              <w:t>Shares:</w:t>
            </w:r>
          </w:p>
        </w:tc>
        <w:tc>
          <w:tcPr>
            <w:tcW w:w="102" w:type="dxa"/>
            <w:tcBorders/>
            <w:vAlign w:val="bottom"/>
          </w:tcPr>
          <w:p>
            <w:pPr>
              <w:pStyle w:val="TableContents"/>
              <w:bidi w:val="0"/>
              <w:spacing w:before="0" w:after="283"/>
              <w:jc w:val="left"/>
              <w:rPr/>
            </w:pPr>
            <w:r>
              <w:rPr/>
              <w:t> </w:t>
            </w:r>
          </w:p>
        </w:tc>
        <w:tc>
          <w:tcPr>
            <w:tcW w:w="613" w:type="dxa"/>
            <w:tcBorders/>
          </w:tcPr>
          <w:p>
            <w:pPr>
              <w:pStyle w:val="TableContents"/>
              <w:bidi w:val="0"/>
              <w:spacing w:before="0" w:after="283"/>
              <w:jc w:val="left"/>
              <w:rPr>
                <w:u w:val="single"/>
              </w:rPr>
            </w:pPr>
            <w:r>
              <w:rPr>
                <w:u w:val="single"/>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Pre-Funded Warrant Shares: ________ Beneficial Ownership Blocker ☐ 4.99% or ☐ 9.99% </w:t>
      </w:r>
    </w:p>
    <w:p>
      <w:pPr>
        <w:pStyle w:val="TextBody"/>
        <w:bidi w:val="0"/>
        <w:spacing w:before="240" w:after="0"/>
        <w:jc w:val="left"/>
        <w:rPr>
          <w:rFonts w:ascii="Times New Roman" w:hAnsi="Times New Roman"/>
          <w:sz w:val="20"/>
        </w:rPr>
      </w:pPr>
      <w:r>
        <w:rPr>
          <w:rFonts w:ascii="Times New Roman" w:hAnsi="Times New Roman"/>
          <w:sz w:val="20"/>
        </w:rPr>
        <w:t xml:space="preserve">Common Warrant Shares: _____ Beneficial Ownership Blocker ☐ 4.99% or ☐ 9.99% </w:t>
      </w:r>
    </w:p>
    <w:p>
      <w:pPr>
        <w:pStyle w:val="TextBody"/>
        <w:bidi w:val="0"/>
        <w:spacing w:before="240" w:after="0"/>
        <w:jc w:val="left"/>
        <w:rPr>
          <w:rFonts w:ascii="Times New Roman" w:hAnsi="Times New Roman"/>
          <w:sz w:val="20"/>
        </w:rPr>
      </w:pPr>
      <w:r>
        <w:rPr>
          <w:rFonts w:ascii="Times New Roman" w:hAnsi="Times New Roman"/>
          <w:sz w:val="20"/>
        </w:rPr>
        <w:t xml:space="preserve">EIN Number: ____________________ </w:t>
      </w:r>
    </w:p>
    <w:p>
      <w:pPr>
        <w:pStyle w:val="TextBody"/>
        <w:bidi w:val="0"/>
        <w:spacing w:before="240" w:after="0"/>
        <w:jc w:val="left"/>
        <w:rPr/>
      </w:pPr>
      <w:r>
        <w:rPr/>
        <w:t xml:space="preserve">☐ </w:t>
      </w:r>
      <w:r>
        <w:rPr>
          <w:rFonts w:ascii="Times New Roman" w:hAnsi="Times New Roman"/>
          <w:sz w:val="20"/>
        </w:rPr>
        <w:t xml:space="preserve">Notwithstanding anything contained in this Agreement to the contrary, by checking this box (i) the obligations of the above-signed to purchase the securities set forth in this Agreement to be purchased from the Company by the above-signed, and the obligations of the Company to sell such securities to the above-signed, shall be unconditional and all conditions to Closing shall be disregarded, (ii) the Closing shall occur by the first (1st) Trading Day following the date of this Agreement and (iii) any condition to Closing contemplated by this Agreement (but prior to being disregarded by clause (i) above) that required delivery by the Company or the above-signed of any agreement, instrument, certificate or the like or purchase price (as applicable) shall no longer be a condition and shall instead be an unconditional obligation of the Company or the above-signed (as applicable) to deliver such agreement, instrument, certificate or the like or purchase price (as applicable) to such other party on the Closing Date.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A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Form of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Common Warrant </w:t>
      </w:r>
    </w:p>
    <w:p>
      <w:pPr>
        <w:pStyle w:val="TextBody"/>
        <w:bidi w:val="0"/>
        <w:spacing w:before="240" w:after="0"/>
        <w:jc w:val="center"/>
        <w:rPr>
          <w:rFonts w:ascii="Times New Roman" w:hAnsi="Times New Roman"/>
          <w:sz w:val="20"/>
        </w:rPr>
      </w:pPr>
      <w:r>
        <w:rPr>
          <w:rFonts w:ascii="Times New Roman" w:hAnsi="Times New Roman"/>
          <w:sz w:val="20"/>
        </w:rPr>
        <w:t xml:space="preserve">(See attached)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B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Form of Pre-Funded Warrant </w:t>
      </w:r>
    </w:p>
    <w:p>
      <w:pPr>
        <w:pStyle w:val="TextBody"/>
        <w:bidi w:val="0"/>
        <w:spacing w:before="240" w:after="0"/>
        <w:jc w:val="center"/>
        <w:rPr>
          <w:rFonts w:ascii="Times New Roman" w:hAnsi="Times New Roman"/>
          <w:sz w:val="20"/>
        </w:rPr>
      </w:pPr>
      <w:r>
        <w:rPr>
          <w:rFonts w:ascii="Times New Roman" w:hAnsi="Times New Roman"/>
          <w:sz w:val="20"/>
        </w:rPr>
        <w:t xml:space="preserve">(See attached)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C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Form of Lock-Up Agreement </w:t>
      </w:r>
    </w:p>
    <w:p>
      <w:pPr>
        <w:pStyle w:val="TextBody"/>
        <w:bidi w:val="0"/>
        <w:spacing w:before="240" w:after="0"/>
        <w:jc w:val="center"/>
        <w:rPr>
          <w:rFonts w:ascii="Times New Roman" w:hAnsi="Times New Roman"/>
          <w:sz w:val="20"/>
        </w:rPr>
      </w:pPr>
      <w:r>
        <w:rPr>
          <w:rFonts w:ascii="Times New Roman" w:hAnsi="Times New Roman"/>
          <w:sz w:val="20"/>
        </w:rPr>
        <w:t xml:space="preserve">(See attached) </w:t>
      </w:r>
    </w:p>
    <w:p>
      <w:pPr>
        <w:pStyle w:val="TextBody"/>
        <w:bidi w:val="0"/>
        <w:spacing w:before="0" w:after="0"/>
        <w:jc w:val="right"/>
        <w:rPr>
          <w:rFonts w:ascii="Times New Roman" w:hAnsi="Times New Roman"/>
          <w:b/>
          <w:sz w:val="20"/>
        </w:rPr>
      </w:pPr>
      <w:bookmarkStart w:id="10" w:name="d134319dex102.htm"/>
      <w:bookmarkStart w:id="11" w:name="ksd134319dex102"/>
      <w:bookmarkEnd w:id="10"/>
      <w:bookmarkEnd w:id="11"/>
      <w:r>
        <w:rPr>
          <w:rFonts w:ascii="Times New Roman" w:hAnsi="Times New Roman"/>
          <w:b/>
          <w:sz w:val="20"/>
        </w:rPr>
        <w:t xml:space="preserve">Exhibit 10.2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PLACEMENT AGENCY AGREEMENT </w:t>
      </w:r>
    </w:p>
    <w:p>
      <w:pPr>
        <w:pStyle w:val="TextBody"/>
        <w:bidi w:val="0"/>
        <w:spacing w:before="240" w:after="0"/>
        <w:jc w:val="right"/>
        <w:rPr>
          <w:rFonts w:ascii="Times New Roman" w:hAnsi="Times New Roman"/>
          <w:sz w:val="20"/>
        </w:rPr>
      </w:pPr>
      <w:r>
        <w:rPr>
          <w:rFonts w:ascii="Times New Roman" w:hAnsi="Times New Roman"/>
          <w:sz w:val="20"/>
        </w:rPr>
        <w:t xml:space="preserve">July 16, 2026 </w:t>
      </w:r>
    </w:p>
    <w:p>
      <w:pPr>
        <w:pStyle w:val="TextBody"/>
        <w:bidi w:val="0"/>
        <w:spacing w:before="240" w:after="0"/>
        <w:jc w:val="left"/>
        <w:rPr>
          <w:rFonts w:ascii="Times New Roman" w:hAnsi="Times New Roman"/>
          <w:sz w:val="20"/>
        </w:rPr>
      </w:pPr>
      <w:r>
        <w:rPr>
          <w:rFonts w:ascii="Times New Roman" w:hAnsi="Times New Roman"/>
          <w:sz w:val="20"/>
        </w:rPr>
        <w:t xml:space="preserve">Keith Murphy </w:t>
      </w:r>
    </w:p>
    <w:p>
      <w:pPr>
        <w:pStyle w:val="TextBody"/>
        <w:bidi w:val="0"/>
        <w:spacing w:before="0" w:after="0"/>
        <w:jc w:val="left"/>
        <w:rPr>
          <w:rFonts w:ascii="Times New Roman" w:hAnsi="Times New Roman"/>
          <w:sz w:val="20"/>
        </w:rPr>
      </w:pPr>
      <w:r>
        <w:rPr>
          <w:rFonts w:ascii="Times New Roman" w:hAnsi="Times New Roman"/>
          <w:sz w:val="20"/>
        </w:rPr>
        <w:t xml:space="preserve">Executive Chairman </w:t>
      </w:r>
    </w:p>
    <w:p>
      <w:pPr>
        <w:pStyle w:val="TextBody"/>
        <w:bidi w:val="0"/>
        <w:spacing w:before="0" w:after="0"/>
        <w:jc w:val="left"/>
        <w:rPr>
          <w:rFonts w:ascii="Times New Roman" w:hAnsi="Times New Roman"/>
          <w:sz w:val="20"/>
        </w:rPr>
      </w:pPr>
      <w:r>
        <w:rPr>
          <w:rFonts w:ascii="Times New Roman" w:hAnsi="Times New Roman"/>
          <w:sz w:val="20"/>
        </w:rPr>
        <w:t xml:space="preserve">VivoSim Labs, Inc. </w:t>
      </w:r>
    </w:p>
    <w:p>
      <w:pPr>
        <w:pStyle w:val="TextBody"/>
        <w:bidi w:val="0"/>
        <w:spacing w:before="0" w:after="0"/>
        <w:jc w:val="left"/>
        <w:rPr>
          <w:rFonts w:ascii="Times New Roman" w:hAnsi="Times New Roman"/>
          <w:sz w:val="20"/>
        </w:rPr>
      </w:pPr>
      <w:r>
        <w:rPr>
          <w:rFonts w:ascii="Times New Roman" w:hAnsi="Times New Roman"/>
          <w:sz w:val="20"/>
        </w:rPr>
        <w:t xml:space="preserve">11555 Sorrento Valley Rd, Suite 100 </w:t>
      </w:r>
    </w:p>
    <w:p>
      <w:pPr>
        <w:pStyle w:val="TextBody"/>
        <w:bidi w:val="0"/>
        <w:spacing w:before="0" w:after="0"/>
        <w:jc w:val="left"/>
        <w:rPr>
          <w:rFonts w:ascii="Times New Roman" w:hAnsi="Times New Roman"/>
          <w:sz w:val="20"/>
        </w:rPr>
      </w:pPr>
      <w:r>
        <w:rPr>
          <w:rFonts w:ascii="Times New Roman" w:hAnsi="Times New Roman"/>
          <w:sz w:val="20"/>
        </w:rPr>
        <w:t xml:space="preserve">San Diego, CA 92121 </w:t>
      </w:r>
    </w:p>
    <w:p>
      <w:pPr>
        <w:pStyle w:val="TextBody"/>
        <w:bidi w:val="0"/>
        <w:spacing w:before="240" w:after="0"/>
        <w:jc w:val="left"/>
        <w:rPr>
          <w:rFonts w:ascii="Times New Roman" w:hAnsi="Times New Roman"/>
          <w:sz w:val="20"/>
        </w:rPr>
      </w:pPr>
      <w:r>
        <w:rPr>
          <w:rFonts w:ascii="Times New Roman" w:hAnsi="Times New Roman"/>
          <w:sz w:val="20"/>
        </w:rPr>
        <w:t xml:space="preserve">Dear Mr. Murphy: </w:t>
      </w:r>
    </w:p>
    <w:p>
      <w:pPr>
        <w:pStyle w:val="TextBody"/>
        <w:bidi w:val="0"/>
        <w:spacing w:before="120" w:after="0"/>
        <w:jc w:val="left"/>
        <w:rPr>
          <w:rFonts w:ascii="Times New Roman" w:hAnsi="Times New Roman"/>
          <w:sz w:val="20"/>
        </w:rPr>
      </w:pPr>
      <w:r>
        <w:rPr>
          <w:rFonts w:ascii="Times New Roman" w:hAnsi="Times New Roman"/>
          <w:sz w:val="20"/>
        </w:rPr>
        <w:t>This agreement (the “</w:t>
      </w:r>
      <w:r>
        <w:rPr>
          <w:rFonts w:ascii="Times New Roman" w:hAnsi="Times New Roman"/>
          <w:sz w:val="20"/>
          <w:u w:val="single"/>
        </w:rPr>
        <w:t>Agreement</w:t>
      </w:r>
      <w:r>
        <w:rPr>
          <w:rFonts w:ascii="Times New Roman" w:hAnsi="Times New Roman"/>
          <w:sz w:val="20"/>
        </w:rPr>
        <w:t>”) constitutes the agreement between A.G.P./Alliance Global Partners (the “</w:t>
      </w:r>
      <w:r>
        <w:rPr>
          <w:rFonts w:ascii="Times New Roman" w:hAnsi="Times New Roman"/>
          <w:sz w:val="20"/>
          <w:u w:val="single"/>
        </w:rPr>
        <w:t>Placement Agent</w:t>
      </w:r>
      <w:r>
        <w:rPr>
          <w:rFonts w:ascii="Times New Roman" w:hAnsi="Times New Roman"/>
          <w:sz w:val="20"/>
        </w:rPr>
        <w:t>”) and VivoSim Labs, Inc., a Delaware corporation (the “</w:t>
      </w:r>
      <w:r>
        <w:rPr>
          <w:rFonts w:ascii="Times New Roman" w:hAnsi="Times New Roman"/>
          <w:sz w:val="20"/>
          <w:u w:val="single"/>
        </w:rPr>
        <w:t>Company</w:t>
      </w:r>
      <w:r>
        <w:rPr>
          <w:rFonts w:ascii="Times New Roman" w:hAnsi="Times New Roman"/>
          <w:sz w:val="20"/>
        </w:rPr>
        <w:t>”), that the Placement Agent shall serve as the exclusive placement agent for the Company, on a “reasonable best efforts” basis, in connection with the proposed placement (the “</w:t>
      </w:r>
      <w:r>
        <w:rPr>
          <w:rFonts w:ascii="Times New Roman" w:hAnsi="Times New Roman"/>
          <w:sz w:val="20"/>
          <w:u w:val="single"/>
        </w:rPr>
        <w:t>Placement</w:t>
      </w:r>
      <w:r>
        <w:rPr>
          <w:rFonts w:ascii="Times New Roman" w:hAnsi="Times New Roman"/>
          <w:sz w:val="20"/>
        </w:rPr>
        <w:t>”) of unregistered (i) shares (the “</w:t>
      </w:r>
      <w:r>
        <w:rPr>
          <w:rFonts w:ascii="Times New Roman" w:hAnsi="Times New Roman"/>
          <w:sz w:val="20"/>
          <w:u w:val="single"/>
        </w:rPr>
        <w:t>Shares</w:t>
      </w:r>
      <w:r>
        <w:rPr>
          <w:rFonts w:ascii="Times New Roman" w:hAnsi="Times New Roman"/>
          <w:sz w:val="20"/>
        </w:rPr>
        <w:t>”) of the Company’s common stock, $0.001 par value per share (the “</w:t>
      </w:r>
      <w:r>
        <w:rPr>
          <w:rFonts w:ascii="Times New Roman" w:hAnsi="Times New Roman"/>
          <w:sz w:val="20"/>
          <w:u w:val="single"/>
        </w:rPr>
        <w:t>Common Stock</w:t>
      </w:r>
      <w:r>
        <w:rPr>
          <w:rFonts w:ascii="Times New Roman" w:hAnsi="Times New Roman"/>
          <w:sz w:val="20"/>
        </w:rPr>
        <w:t>”), (ii) pre-funded Common Stock purchase warrants to purchase shares of Common Stock (the “</w:t>
      </w:r>
      <w:r>
        <w:rPr>
          <w:rFonts w:ascii="Times New Roman" w:hAnsi="Times New Roman"/>
          <w:sz w:val="20"/>
          <w:u w:val="single"/>
        </w:rPr>
        <w:t>Pre-Funded Warrants</w:t>
      </w:r>
      <w:r>
        <w:rPr>
          <w:rFonts w:ascii="Times New Roman" w:hAnsi="Times New Roman"/>
          <w:sz w:val="20"/>
        </w:rPr>
        <w:t>”), and (iii) Common Stock purchase warrants to purchase shares of Common Stock (the “</w:t>
      </w:r>
      <w:r>
        <w:rPr>
          <w:rFonts w:ascii="Times New Roman" w:hAnsi="Times New Roman"/>
          <w:sz w:val="20"/>
          <w:u w:val="single"/>
        </w:rPr>
        <w:t>Common Warrants</w:t>
      </w:r>
      <w:r>
        <w:rPr>
          <w:rFonts w:ascii="Times New Roman" w:hAnsi="Times New Roman"/>
          <w:sz w:val="20"/>
        </w:rPr>
        <w:t>”). The Shares, the Pre-Funded Warrants, the Common Warrants, and the shares of Common Stock underlying the Pre-Funded Warrants and the Common Warrants are hereinafter referred to as the “</w:t>
      </w:r>
      <w:r>
        <w:rPr>
          <w:rFonts w:ascii="Times New Roman" w:hAnsi="Times New Roman"/>
          <w:sz w:val="20"/>
          <w:u w:val="single"/>
        </w:rPr>
        <w:t>Securities</w:t>
      </w:r>
      <w:r>
        <w:rPr>
          <w:rFonts w:ascii="Times New Roman" w:hAnsi="Times New Roman"/>
          <w:sz w:val="20"/>
        </w:rPr>
        <w:t>.” The Securities will be offered in a private placement exempt from the registration requirements of the Securities Act of 1933, as amended (the “Securities Act”). The terms of the Placement shall be mutually agreed upon by the Company, Placement Agent and the purchasers of the Securities (each, a “</w:t>
      </w:r>
      <w:r>
        <w:rPr>
          <w:rFonts w:ascii="Times New Roman" w:hAnsi="Times New Roman"/>
          <w:sz w:val="20"/>
          <w:u w:val="single"/>
        </w:rPr>
        <w:t>Purchaser</w:t>
      </w:r>
      <w:r>
        <w:rPr>
          <w:rFonts w:ascii="Times New Roman" w:hAnsi="Times New Roman"/>
          <w:sz w:val="20"/>
        </w:rPr>
        <w:t>” and collectively, the “</w:t>
      </w:r>
      <w:r>
        <w:rPr>
          <w:rFonts w:ascii="Times New Roman" w:hAnsi="Times New Roman"/>
          <w:sz w:val="20"/>
          <w:u w:val="single"/>
        </w:rPr>
        <w:t>Purchasers</w:t>
      </w:r>
      <w:r>
        <w:rPr>
          <w:rFonts w:ascii="Times New Roman" w:hAnsi="Times New Roman"/>
          <w:sz w:val="20"/>
        </w:rPr>
        <w:t>”) and nothing herein constitutes that the Placement Agent would have the power or authority to bind the Company or any Purchaser or an obligation for the Company to issue any Securities or complete the Placement. This Agreement and the documents executed and delivered by the Company and the Purchasers in connection with the Placement, including the Purchase Agreement (as hereinafter defined) shall be collectively referred to herein as the “</w:t>
      </w:r>
      <w:r>
        <w:rPr>
          <w:rFonts w:ascii="Times New Roman" w:hAnsi="Times New Roman"/>
          <w:sz w:val="20"/>
          <w:u w:val="single"/>
        </w:rPr>
        <w:t>Transaction Documents</w:t>
      </w:r>
      <w:r>
        <w:rPr>
          <w:rFonts w:ascii="Times New Roman" w:hAnsi="Times New Roman"/>
          <w:sz w:val="20"/>
        </w:rPr>
        <w:t>.” Subject to the terms and conditions hereof, payment of the purchase price for, and delivery of, the Securities shall be made at one or more closings (each a “</w:t>
      </w:r>
      <w:r>
        <w:rPr>
          <w:rFonts w:ascii="Times New Roman" w:hAnsi="Times New Roman"/>
          <w:sz w:val="20"/>
          <w:u w:val="single"/>
        </w:rPr>
        <w:t>Closing</w:t>
      </w:r>
      <w:r>
        <w:rPr>
          <w:rFonts w:ascii="Times New Roman" w:hAnsi="Times New Roman"/>
          <w:sz w:val="20"/>
        </w:rPr>
        <w:t>” and the date on which each Closing occurs, a “</w:t>
      </w:r>
      <w:r>
        <w:rPr>
          <w:rFonts w:ascii="Times New Roman" w:hAnsi="Times New Roman"/>
          <w:sz w:val="20"/>
          <w:u w:val="single"/>
        </w:rPr>
        <w:t>Closing Date</w:t>
      </w:r>
      <w:r>
        <w:rPr>
          <w:rFonts w:ascii="Times New Roman" w:hAnsi="Times New Roman"/>
          <w:sz w:val="20"/>
        </w:rPr>
        <w:t>”). The Company expressly acknowledges and agrees that the Placement Agent’s obligations hereunder are on a best efforts basis only and that the execution of this Agreement does not constitute a legal or binding commitment by the Placement Agent to purchase the Securities or introduce the Company to investors and does not ensure the successful placement of the Securities or any portion thereof or the success of the Placement Agent with respect to securing any other financing on behalf of the Company. The Placement Agent may retain other brokers or dealers to act as sub-agents or selected-dealers on its behalf in connection with the Placement. The sale of the Securities to any Purchaser will be evidenced by a securities purchase agreement (the “</w:t>
      </w:r>
      <w:r>
        <w:rPr>
          <w:rFonts w:ascii="Times New Roman" w:hAnsi="Times New Roman"/>
          <w:sz w:val="20"/>
          <w:u w:val="single"/>
        </w:rPr>
        <w:t>Purchase Agreement</w:t>
      </w:r>
      <w:r>
        <w:rPr>
          <w:rFonts w:ascii="Times New Roman" w:hAnsi="Times New Roman"/>
          <w:sz w:val="20"/>
        </w:rPr>
        <w:t xml:space="preserve">”) between the Company and such Purchaser in a form reasonably acceptable to the Company and the Placement Agent. Capitalized terms that are not otherwise defined herein have the meanings given to such terms in the Purchase Agreement. Prior to the signing of the Purchase Agreement, officers of the Company will be available to answer inquiries from prospective Purchasers.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1. Representations and Warranties of the Company; Covenants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Representations of the Company</w:t>
      </w:r>
      <w:r>
        <w:rPr>
          <w:rFonts w:ascii="Times New Roman" w:hAnsi="Times New Roman"/>
          <w:sz w:val="20"/>
        </w:rPr>
        <w:t xml:space="preserve">. Each of the representations and warranties (together with any related disclosure schedules thereto) and covenants made by the Company to the Purchasers in the Purchase Agreement in connection with the Placement is hereby incorporated herein by reference into this Agreement (as though fully restated herein) and is, as of the date of this Agreement and as of the Closing Date, hereby made to, and in favor of, the Placement Agent. In addition to the foregoing, the Company represents and warrants that: </w:t>
      </w:r>
    </w:p>
    <w:p>
      <w:pPr>
        <w:pStyle w:val="TextBody"/>
        <w:bidi w:val="0"/>
        <w:spacing w:before="120" w:after="0"/>
        <w:jc w:val="left"/>
        <w:rPr>
          <w:rFonts w:ascii="Times New Roman" w:hAnsi="Times New Roman"/>
          <w:sz w:val="20"/>
        </w:rPr>
      </w:pPr>
      <w:r>
        <w:rPr>
          <w:rFonts w:ascii="Times New Roman" w:hAnsi="Times New Roman"/>
          <w:sz w:val="20"/>
        </w:rPr>
        <w:t xml:space="preserve">(i) Assuming the accuracy of the Purchasers’ representations and warranties set forth in the Purchase Agreement, no registration under the Securities Act is required for the offer and sale of the Securities. </w:t>
      </w:r>
    </w:p>
    <w:p>
      <w:pPr>
        <w:pStyle w:val="TextBody"/>
        <w:bidi w:val="0"/>
        <w:spacing w:before="120" w:after="0"/>
        <w:jc w:val="left"/>
        <w:rPr>
          <w:rFonts w:ascii="Times New Roman" w:hAnsi="Times New Roman"/>
          <w:sz w:val="20"/>
        </w:rPr>
      </w:pPr>
      <w:r>
        <w:rPr>
          <w:rFonts w:ascii="Times New Roman" w:hAnsi="Times New Roman"/>
          <w:sz w:val="20"/>
        </w:rPr>
        <w:t>(ii) There are no affiliations with any Financial Industry Regulatory Authority, Inc. (“</w:t>
      </w:r>
      <w:r>
        <w:rPr>
          <w:rFonts w:ascii="Times New Roman" w:hAnsi="Times New Roman"/>
          <w:sz w:val="20"/>
          <w:u w:val="single"/>
        </w:rPr>
        <w:t>FINRA</w:t>
      </w:r>
      <w:r>
        <w:rPr>
          <w:rFonts w:ascii="Times New Roman" w:hAnsi="Times New Roman"/>
          <w:sz w:val="20"/>
        </w:rPr>
        <w:t xml:space="preserve">”) member firm among the Company’s officers, directors or, to the knowledge of the Company, any ten percent (10.0%) or greater stockholder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Covenants of the Company</w:t>
      </w:r>
      <w:r>
        <w:rPr>
          <w:rFonts w:ascii="Times New Roman" w:hAnsi="Times New Roman"/>
          <w:sz w:val="20"/>
        </w:rPr>
        <w:t xml:space="preserve">. The Company further covenants and agrees with the Placement Agent as follows: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Blue Sky Compliance</w:t>
      </w:r>
      <w:r>
        <w:rPr>
          <w:rFonts w:ascii="Times New Roman" w:hAnsi="Times New Roman"/>
          <w:sz w:val="20"/>
        </w:rPr>
        <w:t xml:space="preserve">. The Company will cooperate with the Placement Agent and the Purchasers in endeavoring to qualify the Securities for sale under the securities laws of such jurisdictions (United States and foreign) as the Placement Agent and the Purchasers may reasonably request and will make such applications, file such documents, and furnish such information as may be reasonably required for that purpose, provided that the Company shall not be required to qualify as a foreign corporation or to file a general consent to service of process in any jurisdiction where it is not now so qualified or required to file such a consent, and provided further that the Company shall not be required to produce any new disclosure document. The Company will, from time to time, prepare and file such statements, reports and other documents as are or may be required to continue such qualifications in effect for so long a period as the Placement Agent may reasonably request for distribution of the Securities. The Company will advise the Placement Agent promptly of the suspension of the qualification or registration of (or any such exemption relating to) the Securities for offering, sale or trading in any jurisdiction or any initiation or threat of any proceeding for any such purpose, and in the event of the issuance of any order suspending such qualification, registration or exemption, the Company shall use its best efforts to obtain the withdrawal thereof at the earliest possible moment.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Transfer Agent</w:t>
      </w:r>
      <w:r>
        <w:rPr>
          <w:rFonts w:ascii="Times New Roman" w:hAnsi="Times New Roman"/>
          <w:sz w:val="20"/>
        </w:rPr>
        <w:t xml:space="preserve">. The Company will maintain, at its expense, a registrar and transfer agent for the shares of Common Stock.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w:t>
      </w:r>
      <w:r>
        <w:rPr>
          <w:rFonts w:ascii="Times New Roman" w:hAnsi="Times New Roman"/>
          <w:sz w:val="20"/>
        </w:rPr>
        <w:t xml:space="preserve"> </w:t>
      </w:r>
      <w:r>
        <w:rPr>
          <w:rFonts w:ascii="Times New Roman" w:hAnsi="Times New Roman"/>
          <w:b/>
          <w:sz w:val="20"/>
        </w:rPr>
        <w:t>Representations of the Placement Agent.</w:t>
      </w:r>
      <w:r>
        <w:rPr>
          <w:rFonts w:ascii="Times New Roman" w:hAnsi="Times New Roman"/>
          <w:sz w:val="20"/>
        </w:rPr>
        <w:t xml:space="preserve"> The Placement Agent represents and warrants that it (i) is a member in good standing of FINRA, (ii) is registered as a broker/dealer under the Securities Exchange Act of 1934 as amended (the “</w:t>
      </w:r>
      <w:r>
        <w:rPr>
          <w:rFonts w:ascii="Times New Roman" w:hAnsi="Times New Roman"/>
          <w:sz w:val="20"/>
          <w:u w:val="single"/>
        </w:rPr>
        <w:t>Exchange Act</w:t>
      </w:r>
      <w:r>
        <w:rPr>
          <w:rFonts w:ascii="Times New Roman" w:hAnsi="Times New Roman"/>
          <w:sz w:val="20"/>
        </w:rPr>
        <w:t xml:space="preserve">”) and the securities laws of each state in which an offer or sale of Securities is made (unless exempted from the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respective state’s broker-dealer registration requirements), (iii) is licensed as a broker/dealer under the laws of the states applicable to the offers and sales of the Securities by such Placement Agent, (iv) is and will be a corporate body validly existing under the laws of its place of incorporation, and (v) has full power and authority to enter into and perform its obligations under this Agreement. The Placement Agent will immediately notify the Company in writing of any change in its status as such. The Placement Agent covenants that it will use its reasonable best efforts to conduct the Placement hereunder in compliance with the provisions of this Agreement and the requirements of applicable law.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w:t>
      </w:r>
      <w:r>
        <w:rPr>
          <w:rFonts w:ascii="Times New Roman" w:hAnsi="Times New Roman"/>
          <w:sz w:val="20"/>
        </w:rPr>
        <w:t xml:space="preserve"> </w:t>
      </w:r>
      <w:r>
        <w:rPr>
          <w:rFonts w:ascii="Times New Roman" w:hAnsi="Times New Roman"/>
          <w:b/>
          <w:sz w:val="20"/>
        </w:rPr>
        <w:t xml:space="preserve">Compensation. </w:t>
      </w:r>
      <w:r>
        <w:rPr>
          <w:rFonts w:ascii="Times New Roman" w:hAnsi="Times New Roman"/>
          <w:sz w:val="20"/>
        </w:rPr>
        <w:t xml:space="preserve">In consideration of the services to be provided for hereunder, the Company shall pay to the Placement Agent or its designee its pro rata portion (based on the Securities placed) of the following compensation with respect to the Securities which it is placing: </w:t>
      </w:r>
    </w:p>
    <w:p>
      <w:pPr>
        <w:pStyle w:val="TextBody"/>
        <w:bidi w:val="0"/>
        <w:spacing w:before="240" w:after="0"/>
        <w:jc w:val="left"/>
        <w:rPr>
          <w:rFonts w:ascii="Times New Roman" w:hAnsi="Times New Roman"/>
          <w:sz w:val="20"/>
        </w:rPr>
      </w:pPr>
      <w:r>
        <w:rPr>
          <w:rFonts w:ascii="Times New Roman" w:hAnsi="Times New Roman"/>
          <w:sz w:val="20"/>
        </w:rPr>
        <w:t>(a) A cash fee (the “</w:t>
      </w:r>
      <w:r>
        <w:rPr>
          <w:rFonts w:ascii="Times New Roman" w:hAnsi="Times New Roman"/>
          <w:sz w:val="20"/>
          <w:u w:val="single"/>
        </w:rPr>
        <w:t>Cash Fee</w:t>
      </w:r>
      <w:r>
        <w:rPr>
          <w:rFonts w:ascii="Times New Roman" w:hAnsi="Times New Roman"/>
          <w:sz w:val="20"/>
        </w:rPr>
        <w:t xml:space="preserve">”) equal to an aggregate of 6.50% of the aggregate Subscription Price paid by each Purchaser. The Cash Fee shall be paid at each Closing. </w:t>
      </w:r>
    </w:p>
    <w:p>
      <w:pPr>
        <w:pStyle w:val="TextBody"/>
        <w:bidi w:val="0"/>
        <w:spacing w:before="240" w:after="0"/>
        <w:jc w:val="left"/>
        <w:rPr>
          <w:rFonts w:ascii="Times New Roman" w:hAnsi="Times New Roman"/>
          <w:sz w:val="20"/>
        </w:rPr>
      </w:pPr>
      <w:r>
        <w:rPr>
          <w:rFonts w:ascii="Times New Roman" w:hAnsi="Times New Roman"/>
          <w:sz w:val="20"/>
        </w:rPr>
        <w:t xml:space="preserve">(b) Subject to compliance with FINRA Rule 5110(f)(2)(D), the Company also agrees to reimburse the Placement Agent for actual, reasonable and documented out-of-pocket accountable legal expenses of its legal counsel, in an amount not to exceed an aggregate of $70,000 (inclusive of any advances received by the Placement Agent from the Company) and a non-accountable expense allowance that shall not exceed $15,000. The Company will reimburse Placement Agent directly upon the Closing from the gross proceeds raised in the Placement. </w:t>
      </w:r>
    </w:p>
    <w:p>
      <w:pPr>
        <w:pStyle w:val="TextBody"/>
        <w:bidi w:val="0"/>
        <w:spacing w:before="240" w:after="0"/>
        <w:jc w:val="left"/>
        <w:rPr>
          <w:rFonts w:ascii="Times New Roman" w:hAnsi="Times New Roman"/>
          <w:sz w:val="20"/>
        </w:rPr>
      </w:pPr>
      <w:r>
        <w:rPr>
          <w:rFonts w:ascii="Times New Roman" w:hAnsi="Times New Roman"/>
          <w:sz w:val="20"/>
        </w:rPr>
        <w:t>(c) The Placement Agent shall be entitled to compensation under Section 3(a), calculated in the manner set forth herein with respect to any public or private offering, equity-linked, preferred, convertible or debt securities, or other financing or capital-raising transaction of any kind (“</w:t>
      </w:r>
      <w:r>
        <w:rPr>
          <w:rFonts w:ascii="Times New Roman" w:hAnsi="Times New Roman"/>
          <w:sz w:val="20"/>
          <w:u w:val="single"/>
        </w:rPr>
        <w:t>Tail Financing</w:t>
      </w:r>
      <w:r>
        <w:rPr>
          <w:rFonts w:ascii="Times New Roman" w:hAnsi="Times New Roman"/>
          <w:sz w:val="20"/>
        </w:rPr>
        <w:t xml:space="preserve">”) to the extent that such Tail Financing is both (i) provided to the Company by investors that were specifically introduced to the Company by the Placement Agent during the term of this Agreement, investors that contacted the Placement Agent, or investors that participate in this Placement; and (ii) consummated at any time within the nine (9)-month period following the expiration or termination of this Agreement. The issuance of any stock or equity of the Company to its officers, directors, employees, or consultants shall not be deemed a Tail Financing. </w:t>
      </w:r>
    </w:p>
    <w:p>
      <w:pPr>
        <w:pStyle w:val="TextBody"/>
        <w:bidi w:val="0"/>
        <w:spacing w:before="240" w:after="0"/>
        <w:jc w:val="left"/>
        <w:rPr>
          <w:rFonts w:ascii="Times New Roman" w:hAnsi="Times New Roman"/>
          <w:sz w:val="20"/>
        </w:rPr>
      </w:pPr>
      <w:r>
        <w:rPr>
          <w:rFonts w:ascii="Times New Roman" w:hAnsi="Times New Roman"/>
          <w:sz w:val="20"/>
        </w:rPr>
        <w:t xml:space="preserve">(d) The Placement Agent reserves the right to reduce any item of its compensation or adjust the terms thereof as specified herein in the event that a determination shall be made by FINRA to the effect that such Placement Agent’s aggregate compensation is in excess of FINRA rules or that the terms thereof require adjustment.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w:t>
      </w:r>
      <w:r>
        <w:rPr>
          <w:rFonts w:ascii="Times New Roman" w:hAnsi="Times New Roman"/>
          <w:sz w:val="20"/>
        </w:rPr>
        <w:t xml:space="preserve"> </w:t>
      </w:r>
      <w:r>
        <w:rPr>
          <w:rFonts w:ascii="Times New Roman" w:hAnsi="Times New Roman"/>
          <w:b/>
          <w:sz w:val="20"/>
        </w:rPr>
        <w:t>Engagement Term</w:t>
      </w:r>
      <w:r>
        <w:rPr>
          <w:rFonts w:ascii="Times New Roman" w:hAnsi="Times New Roman"/>
          <w:sz w:val="20"/>
        </w:rPr>
        <w:t>. The Placement Agent’s engagement hereunder shall be until the earlier of (i) the Closing Date and (ii) August 15, 2026 (the “</w:t>
      </w:r>
      <w:r>
        <w:rPr>
          <w:rFonts w:ascii="Times New Roman" w:hAnsi="Times New Roman"/>
          <w:sz w:val="20"/>
          <w:u w:val="single"/>
        </w:rPr>
        <w:t>Termination Date</w:t>
      </w:r>
      <w:r>
        <w:rPr>
          <w:rFonts w:ascii="Times New Roman" w:hAnsi="Times New Roman"/>
          <w:sz w:val="20"/>
        </w:rPr>
        <w:t xml:space="preserve">”), </w:t>
      </w:r>
      <w:r>
        <w:rPr>
          <w:rFonts w:ascii="Times New Roman" w:hAnsi="Times New Roman"/>
          <w:i/>
          <w:sz w:val="20"/>
        </w:rPr>
        <w:t>provided, however,</w:t>
      </w:r>
      <w:r>
        <w:rPr>
          <w:rFonts w:ascii="Times New Roman" w:hAnsi="Times New Roman"/>
          <w:sz w:val="20"/>
        </w:rPr>
        <w:t xml:space="preserve"> the Placement Agent may terminate this Agreement prior to the Termination Date if it reasonably determines that it is unsatisfied with the results of its due diligence investigation, notwithstanding its best efforts to complete the Placement. The Company may terminate the engagement hereunder for any reason prior to the Termination Date. If this Agreement expires or terminates prior to the completion of the Placement, the Company shall reimburse expenses incurred by the Placement Agent, pursuant to </w:t>
      </w:r>
      <w:r>
        <w:rPr>
          <w:rFonts w:ascii="Times New Roman" w:hAnsi="Times New Roman"/>
          <w:sz w:val="20"/>
          <w:u w:val="single"/>
        </w:rPr>
        <w:t>Section 3</w:t>
      </w:r>
      <w:r>
        <w:rPr>
          <w:rFonts w:ascii="Times New Roman" w:hAnsi="Times New Roman"/>
          <w:sz w:val="20"/>
        </w:rPr>
        <w:t xml:space="preserve"> hereof but in no event greater than the amounts set forth in </w:t>
      </w:r>
      <w:r>
        <w:rPr>
          <w:rFonts w:ascii="Times New Roman" w:hAnsi="Times New Roman"/>
          <w:sz w:val="20"/>
          <w:u w:val="single"/>
        </w:rPr>
        <w:t>Section 3</w:t>
      </w:r>
      <w:r>
        <w:rPr>
          <w:rFonts w:ascii="Times New Roman" w:hAnsi="Times New Roman"/>
          <w:sz w:val="20"/>
        </w:rPr>
        <w:t xml:space="preserve">, up to and including the Termination Date. The Placement Agent may not use any confidential information concerning the Company provided by the Company for any purposes other than those contemplated under this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w:t>
      </w:r>
      <w:r>
        <w:rPr>
          <w:rFonts w:ascii="Times New Roman" w:hAnsi="Times New Roman"/>
          <w:sz w:val="20"/>
        </w:rPr>
        <w:t xml:space="preserve"> </w:t>
      </w:r>
      <w:r>
        <w:rPr>
          <w:rFonts w:ascii="Times New Roman" w:hAnsi="Times New Roman"/>
          <w:b/>
          <w:sz w:val="20"/>
        </w:rPr>
        <w:t xml:space="preserve">Placement Agent Information. </w:t>
      </w:r>
      <w:r>
        <w:rPr>
          <w:rFonts w:ascii="Times New Roman" w:hAnsi="Times New Roman"/>
          <w:sz w:val="20"/>
        </w:rPr>
        <w:t xml:space="preserve">The Company agrees that any information or advice rendered by the Placement Agent in connection with this engagement is for the confidential use of the Company only in their evaluation of the Placement and, except as otherwise required by law, the Company will not disclose or otherwise refer to the advice or information in any manner without the Placement Agent’s prior written consent. </w:t>
      </w:r>
    </w:p>
    <w:p>
      <w:pPr>
        <w:pStyle w:val="TextBody"/>
        <w:bidi w:val="0"/>
        <w:spacing w:before="360" w:after="0"/>
        <w:jc w:val="left"/>
        <w:rPr>
          <w:rFonts w:ascii="Times New Roman" w:hAnsi="Times New Roman"/>
          <w:b/>
          <w:sz w:val="20"/>
        </w:rPr>
      </w:pPr>
      <w:r>
        <w:rPr>
          <w:rFonts w:ascii="Times New Roman" w:hAnsi="Times New Roman"/>
          <w:b/>
          <w:sz w:val="20"/>
        </w:rPr>
        <w:t xml:space="preserve">Section 6. Indemnification. </w:t>
      </w:r>
    </w:p>
    <w:p>
      <w:pPr>
        <w:pStyle w:val="TextBody"/>
        <w:bidi w:val="0"/>
        <w:spacing w:before="120" w:after="0"/>
        <w:jc w:val="left"/>
        <w:rPr>
          <w:rFonts w:ascii="Times New Roman" w:hAnsi="Times New Roman"/>
          <w:sz w:val="20"/>
        </w:rPr>
      </w:pPr>
      <w:r>
        <w:rPr>
          <w:rFonts w:ascii="Times New Roman" w:hAnsi="Times New Roman"/>
          <w:sz w:val="20"/>
        </w:rPr>
        <w:t>(a) To the extent permitted by law, with respect to the Securities, the Company shall indemnify the Placement Agent and its affiliates, stockholders, directors, officers, employees, members, and controlling persons (within the meaning of Section 15 of the Securities Act or Section 20 of the Exchange Act) against all losses, claims, damages, expenses, and liabilities, as the same are incurred (including reasonable actual and documented fees and expenses of counsel), relating to or arising out of its activities hereunder or pursuant to this Agreement including claims related to the best efforts public offering conducted by the Company represented by the Placement Agency Agreement, entered into by and between the Company and Joseph Gunnar &amp; Co., LLC on March 31, 2026 (the “</w:t>
      </w:r>
      <w:r>
        <w:rPr>
          <w:rFonts w:ascii="Times New Roman" w:hAnsi="Times New Roman"/>
          <w:sz w:val="20"/>
          <w:u w:val="single"/>
        </w:rPr>
        <w:t>March 2026 Agreement</w:t>
      </w:r>
      <w:r>
        <w:rPr>
          <w:rFonts w:ascii="Times New Roman" w:hAnsi="Times New Roman"/>
          <w:sz w:val="20"/>
        </w:rPr>
        <w:t xml:space="preserve">”), except to the extent that any losses, claims, damages, expenses, or liabilities (or actions in respect thereof) are found in a final judgment (not subject to appeal) by a court of law to have resulted primarily and directly from the Placement Agent’s fraud, bad faith, willful misconduct or gross negligence in performing the services described herein. Notwithstanding anything set forth herein to the contrary, the Company agrees to indemnify the Placement Agent, to the fullest extent set forth in this </w:t>
      </w:r>
      <w:r>
        <w:rPr>
          <w:rFonts w:ascii="Times New Roman" w:hAnsi="Times New Roman"/>
          <w:sz w:val="20"/>
          <w:u w:val="single"/>
        </w:rPr>
        <w:t>Section 6</w:t>
      </w:r>
      <w:r>
        <w:rPr>
          <w:rFonts w:ascii="Times New Roman" w:hAnsi="Times New Roman"/>
          <w:sz w:val="20"/>
        </w:rPr>
        <w:t xml:space="preserve">, against any and all claims asserted by any person or entity alleging that the Placement Agent was not permitted or entitled to act as a placement agent herein, or that the Company was not permitted to hire or retain the Placement Agent herein, including but not limited to any claims arising out of any purported right of first refusal another person or entity claims to have to act as a placement agent or any similar role with respect to the Company or its securities; provided, that the foregoing indemnity in this sentence shall not apply to the extent such claim arises from the Placement Agent’s own fraud, bad faith, willful misconduct, or gross negligence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Promptly after receipt by the Placement Agent of notice of any claim or the commencement of any action or proceeding with respect to which the Placement Agent is entitled to indemnity hereunder, the Placement Agent will immediately notify the Company in writing of such claim or of the commencement of such action or proceeding, but failure or delay by the Placement Agent to so notify the Company shall not relieve the Company from any obligation it may have hereunder, except and only to the extent such failure results in the forfeiture by the Company of substantial rights and defenses or materially adversely impacts the Company. If the Company so elects or is requested by the Placement Agent, the Company will assume the defense of such action or proceeding and will employ counsel reasonably satisfactory to the Placement Agent and will pay the actual, reasonable and documented fees and expenses of such counsel. Notwithstanding the preceding sentence, the Placement Agent will be entitled to employ its own counsel separate from counsel for the Company and from any other party in such action if counsel for the Placement Agent reasonably determines that it would be a conflict of interest under the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applicable rules of professional responsibility for the same counsel to represent both the Company and the Placement Agent. In such event, the reasonable fees and disbursements of no more than one such separate counsel will be paid by the Company, in addition to reasonable fees of local counsel. The Company will have the right to settle the claim or proceeding, </w:t>
      </w:r>
      <w:r>
        <w:rPr>
          <w:rFonts w:ascii="Times New Roman" w:hAnsi="Times New Roman"/>
          <w:i/>
          <w:sz w:val="20"/>
        </w:rPr>
        <w:t>provided</w:t>
      </w:r>
      <w:r>
        <w:rPr>
          <w:rFonts w:ascii="Times New Roman" w:hAnsi="Times New Roman"/>
          <w:sz w:val="20"/>
        </w:rPr>
        <w:t xml:space="preserve"> that the Company will not settle any such claim, action, or proceeding without the prior written consent of the Placement Agent, which will not be unreasonably withheld, conditioned or delayed. The Company will not be liable for settlement of any action effected without its written consent, which may not be unreasonably withheld, conditioned, or delayed. </w:t>
      </w:r>
    </w:p>
    <w:p>
      <w:pPr>
        <w:pStyle w:val="TextBody"/>
        <w:bidi w:val="0"/>
        <w:spacing w:before="240" w:after="0"/>
        <w:jc w:val="left"/>
        <w:rPr>
          <w:rFonts w:ascii="Times New Roman" w:hAnsi="Times New Roman"/>
          <w:sz w:val="20"/>
        </w:rPr>
      </w:pPr>
      <w:r>
        <w:rPr>
          <w:rFonts w:ascii="Times New Roman" w:hAnsi="Times New Roman"/>
          <w:sz w:val="20"/>
        </w:rPr>
        <w:t>(c) The Company agrees to notify the Placement Agent promptly of the assertion against it or any other person of any claim or the commencement of any action or proceeding relating to a transaction contemplated by this Agreement or the March 2026 Agreement.</w:t>
      </w:r>
    </w:p>
    <w:p>
      <w:pPr>
        <w:pStyle w:val="TextBody"/>
        <w:bidi w:val="0"/>
        <w:spacing w:before="240" w:after="0"/>
        <w:jc w:val="left"/>
        <w:rPr>
          <w:rFonts w:ascii="Times New Roman" w:hAnsi="Times New Roman"/>
          <w:sz w:val="20"/>
        </w:rPr>
      </w:pPr>
      <w:r>
        <w:rPr>
          <w:rFonts w:ascii="Times New Roman" w:hAnsi="Times New Roman"/>
          <w:sz w:val="20"/>
        </w:rPr>
        <w:t xml:space="preserve">(d) If for any reason the foregoing indemnity is unavailable to the Placement Agent or insufficient to hold the Placement Agent harmless, other than as a result of the Placement Agent’s fraud, bad faith, willful misconduct or gross negligence, then the Company shall contribute to the amount paid or payable by the Placement Agent as a result of such losses, claims, damages, or liabilities in such proportion as is appropriate to reflect not only the relative benefits received by the Company on the one hand and the Placement Agent on the other, but also the relative fault of the Company on the one hand and the Placement Agent on the other that resulted in such losses, claims, damages, or liabilities, as well as any relevant equitable considerations. The amounts paid or payable by a party in respect of losses, claims, damages, and liabilities referred to above shall be deemed to include any actual, reasonable and documented legal or other fees and expenses incurred in defending any litigation, proceeding, or other action or claim. Notwithstanding the provisions hereof, the Placement Agent’s share of the liability hereunder shall not be in excess of the amount of fees actually received, or to be received, by the Placement Agent under this Agreement (excluding any amounts received as reimbursement of expenses incurred by the Placement Agent). </w:t>
      </w:r>
    </w:p>
    <w:p>
      <w:pPr>
        <w:pStyle w:val="TextBody"/>
        <w:bidi w:val="0"/>
        <w:spacing w:before="240" w:after="0"/>
        <w:jc w:val="left"/>
        <w:rPr>
          <w:rFonts w:ascii="Times New Roman" w:hAnsi="Times New Roman"/>
          <w:sz w:val="20"/>
        </w:rPr>
      </w:pPr>
      <w:r>
        <w:rPr>
          <w:rFonts w:ascii="Times New Roman" w:hAnsi="Times New Roman"/>
          <w:sz w:val="20"/>
        </w:rPr>
        <w:t xml:space="preserve">(e) The provisions of this </w:t>
      </w:r>
      <w:r>
        <w:rPr>
          <w:rFonts w:ascii="Times New Roman" w:hAnsi="Times New Roman"/>
          <w:sz w:val="20"/>
          <w:u w:val="single"/>
        </w:rPr>
        <w:t>Section 6</w:t>
      </w:r>
      <w:r>
        <w:rPr>
          <w:rFonts w:ascii="Times New Roman" w:hAnsi="Times New Roman"/>
          <w:sz w:val="20"/>
        </w:rPr>
        <w:t xml:space="preserve"> will remain in full force and effect, survive the expiration or termination of this Agreement, and be in addition to any liability that the Company might otherwise have to any indemnified party under this Agreement or the March 2026 Agreement, whether or not the transaction contemplated by this Agreement is completed.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w:t>
      </w:r>
      <w:r>
        <w:rPr>
          <w:rFonts w:ascii="Times New Roman" w:hAnsi="Times New Roman"/>
          <w:sz w:val="20"/>
        </w:rPr>
        <w:t xml:space="preserve"> </w:t>
      </w:r>
      <w:r>
        <w:rPr>
          <w:rFonts w:ascii="Times New Roman" w:hAnsi="Times New Roman"/>
          <w:b/>
          <w:sz w:val="20"/>
        </w:rPr>
        <w:t>No Fiduciary Relationship</w:t>
      </w:r>
      <w:r>
        <w:rPr>
          <w:rFonts w:ascii="Times New Roman" w:hAnsi="Times New Roman"/>
          <w:sz w:val="20"/>
        </w:rPr>
        <w:t xml:space="preserve">. This Agreement does not create, and shall not be construed as creating rights enforceable by any person or entity not a party hereto, except those entitled hereto by virtue of the indemnification provisions of Section 6 hereof. The Company acknowledges and agrees that the Placement Agent is not and shall not be construed as a fiduciary of the Company and shall have no duties or liabilities to the equity holders or the creditors of the Company or any other person by virtue of this Agreement or the retention of such Placement Agent hereunder, all of which are hereby expressly waived.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w:t>
      </w:r>
      <w:r>
        <w:rPr>
          <w:rFonts w:ascii="Times New Roman" w:hAnsi="Times New Roman"/>
          <w:sz w:val="20"/>
        </w:rPr>
        <w:t xml:space="preserve"> </w:t>
      </w:r>
      <w:r>
        <w:rPr>
          <w:rFonts w:ascii="Times New Roman" w:hAnsi="Times New Roman"/>
          <w:b/>
          <w:sz w:val="20"/>
        </w:rPr>
        <w:t>Closing</w:t>
      </w:r>
      <w:r>
        <w:rPr>
          <w:rFonts w:ascii="Times New Roman" w:hAnsi="Times New Roman"/>
          <w:sz w:val="20"/>
        </w:rPr>
        <w:t xml:space="preserve">. The obligations of the Placement Agent, and the closing of the sale of the Securities hereunder are subject to the accuracy, when made and on each Closing Date, of the representations and warranties on the part of the Company and its subsidiaries contained herein and in the Purchase Agreement, to the accuracy of the statements of the Company and its subsidiaries made in any certificates pursuant to the provisions hereof, to the performance by the Company and its subsidiaries of their obligations hereunder, and to each of the following additional terms and conditions, except as otherwise disclosed to, and acknowledged and waived by, the Placement Agent: </w:t>
      </w:r>
    </w:p>
    <w:p>
      <w:pPr>
        <w:pStyle w:val="TextBody"/>
        <w:bidi w:val="0"/>
        <w:spacing w:before="240" w:after="0"/>
        <w:jc w:val="left"/>
        <w:rPr>
          <w:rFonts w:ascii="Times New Roman" w:hAnsi="Times New Roman"/>
          <w:sz w:val="20"/>
        </w:rPr>
      </w:pPr>
      <w:r>
        <w:rPr>
          <w:rFonts w:ascii="Times New Roman" w:hAnsi="Times New Roman"/>
          <w:sz w:val="20"/>
        </w:rPr>
        <w:t xml:space="preserve">(a) All corporate proceedings and other legal matters incident to the authorization, form, execution, delivery and validity of each of this Agreement, the Purchase Agreement, the Securities, and all other legal matters relating to this Agreement and the Purchase Agreement, and the transactions contemplated hereby and thereby shall be reasonably satisfactory in all material respects to counsel for the Placement Agent, and the Company shall have furnished to such counsel all documents and information that they may reasonably request to enable them to pass upon such matters. </w:t>
      </w:r>
    </w:p>
    <w:p>
      <w:pPr>
        <w:pStyle w:val="TextBody"/>
        <w:bidi w:val="0"/>
        <w:spacing w:before="240" w:after="0"/>
        <w:jc w:val="left"/>
        <w:rPr>
          <w:rFonts w:ascii="Times New Roman" w:hAnsi="Times New Roman"/>
          <w:sz w:val="20"/>
        </w:rPr>
      </w:pPr>
      <w:r>
        <w:rPr>
          <w:rFonts w:ascii="Times New Roman" w:hAnsi="Times New Roman"/>
          <w:sz w:val="20"/>
        </w:rPr>
        <w:t xml:space="preserve">(b) The Placement Agent shall have received from outside counsel to the Company such counsel’s written opinions, addressed to the Placement Agent and the Purchasers and dated as of the Closing Date, in form and substance reasonably satisfactory to the Placement Agent. </w:t>
      </w:r>
    </w:p>
    <w:p>
      <w:pPr>
        <w:pStyle w:val="TextBody"/>
        <w:bidi w:val="0"/>
        <w:spacing w:before="240" w:after="0"/>
        <w:jc w:val="left"/>
        <w:rPr>
          <w:rFonts w:ascii="Times New Roman" w:hAnsi="Times New Roman"/>
          <w:sz w:val="20"/>
        </w:rPr>
      </w:pPr>
      <w:r>
        <w:rPr>
          <w:rFonts w:ascii="Times New Roman" w:hAnsi="Times New Roman"/>
          <w:sz w:val="20"/>
        </w:rPr>
        <w:t xml:space="preserve">(c) On each Closing Date, Placement Agent shall have received a certificate of the chief executive officer of the Company, dated as of the Closing Date, to the effect that, as of the date of this Agreement and as of the applicable date, the representations and warranties of the Company contained herein and in the Purchase Agreement were and are accurate in all material respects, except for such changes as are contemplated by this Agreement and except as to representations and warranties that were expressly limited to a state of facts existing at a time prior to the applicable Closing Date, and that, as of the applicable date, the obligations to be performed by the Company hereunder on or prior thereto have been fully performed in all material respects. </w:t>
      </w:r>
    </w:p>
    <w:p>
      <w:pPr>
        <w:pStyle w:val="TextBody"/>
        <w:bidi w:val="0"/>
        <w:spacing w:before="240" w:after="0"/>
        <w:jc w:val="left"/>
        <w:rPr>
          <w:rFonts w:ascii="Times New Roman" w:hAnsi="Times New Roman"/>
          <w:sz w:val="20"/>
        </w:rPr>
      </w:pPr>
      <w:r>
        <w:rPr>
          <w:rFonts w:ascii="Times New Roman" w:hAnsi="Times New Roman"/>
          <w:sz w:val="20"/>
        </w:rPr>
        <w:t xml:space="preserve">(d) On each Closing Date, Placement Agent shall have received a certificate of the Secretary of the Company, dated, as applicable, as of the date of such Closing, certifying to the organizational documents, good standing in the state of incorporation of the Company and board resolutions relating to the Placement of the Securities from the Company. </w:t>
      </w:r>
    </w:p>
    <w:p>
      <w:pPr>
        <w:pStyle w:val="TextBody"/>
        <w:bidi w:val="0"/>
        <w:spacing w:before="240" w:after="0"/>
        <w:jc w:val="left"/>
        <w:rPr>
          <w:rFonts w:ascii="Times New Roman" w:hAnsi="Times New Roman"/>
          <w:sz w:val="20"/>
        </w:rPr>
      </w:pPr>
      <w:r>
        <w:rPr>
          <w:rFonts w:ascii="Times New Roman" w:hAnsi="Times New Roman"/>
          <w:sz w:val="20"/>
        </w:rPr>
        <w:t>(e) Neither the Company nor any of its subsidiaries (i) shall have sustained since the date of the latest audited financial statements (the “</w:t>
      </w:r>
      <w:r>
        <w:rPr>
          <w:rFonts w:ascii="Times New Roman" w:hAnsi="Times New Roman"/>
          <w:sz w:val="20"/>
          <w:u w:val="single"/>
        </w:rPr>
        <w:t>Financial Statements Date</w:t>
      </w:r>
      <w:r>
        <w:rPr>
          <w:rFonts w:ascii="Times New Roman" w:hAnsi="Times New Roman"/>
          <w:sz w:val="20"/>
        </w:rPr>
        <w:t>”) included in the Company’s filings (the “</w:t>
      </w:r>
      <w:r>
        <w:rPr>
          <w:rFonts w:ascii="Times New Roman" w:hAnsi="Times New Roman"/>
          <w:sz w:val="20"/>
          <w:u w:val="single"/>
        </w:rPr>
        <w:t>SEC Filings</w:t>
      </w:r>
      <w:r>
        <w:rPr>
          <w:rFonts w:ascii="Times New Roman" w:hAnsi="Times New Roman"/>
          <w:sz w:val="20"/>
        </w:rPr>
        <w:t>”) with the Securities and Exchange Commission (the “</w:t>
      </w:r>
      <w:r>
        <w:rPr>
          <w:rFonts w:ascii="Times New Roman" w:hAnsi="Times New Roman"/>
          <w:sz w:val="20"/>
          <w:u w:val="single"/>
        </w:rPr>
        <w:t>Commission</w:t>
      </w:r>
      <w:r>
        <w:rPr>
          <w:rFonts w:ascii="Times New Roman" w:hAnsi="Times New Roman"/>
          <w:sz w:val="20"/>
        </w:rPr>
        <w:t xml:space="preserve">”) pursuant to the reporting requirements of the Exchange Act, any loss or interference with its business from fire, explosion, flood, terrorist act or other calamity, whether or not covered by insurance, or from any labor dispute or court or governmental action, order or decree, otherwise than as set forth in or contemplated by the SEC Filings, (ii) since the Financial Statements Date, except as disclosed in the SEC Filings, there shall not have been any change in the capital stock or long-term debt of the Company or any of its subsidiaries or any change, or any development involving a prospective change, in or affecting the business, general affairs, management, financial position, stockholders’ equity, results of operations or prospects of the Company and its subsidiaries, and (iii) since the Financial Statements Date there shall not have been any new or renewed inquiries by the Commission, FINRA or any other regulatory body regarding the Company, the effect of which, in any such case described in clause (i), (ii) or (iii), is, in the reasonable judgment of the Placement Agent, so material and adverse as to make it impracticable or inadvisable to proceed with the sale or delivery of the Securities on the terms and in the manner contemplated by the Transaction Documents.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The Common Stock is registered under the Exchange Act and, as of the Closing Date, the Shares and the shares of Common Stock underlying the Pre-Funded Warrants and Common Warrants shall be listed and admitted and authorized for trading on the Trading Market or other applicable U.S. national exchange, or an application for such listing shall have been submitted to the Trading Market, and satisfactory evidence of such action shall have been provided to the Placement Agent. The Company shall have taken no action designed to, or likely to have the effect of terminating the registration of the Common Stock under the Exchange Act or delisting or suspending from trading the Common Stock from the Trading Market or other applicable U.S. national exchange, nor has the Company received any information suggesting that the Commission or the Trading Market or other U.S. applicable national exchange is contemplating terminating such registration or listing. </w:t>
      </w:r>
    </w:p>
    <w:p>
      <w:pPr>
        <w:pStyle w:val="TextBody"/>
        <w:bidi w:val="0"/>
        <w:spacing w:before="240" w:after="0"/>
        <w:jc w:val="left"/>
        <w:rPr>
          <w:rFonts w:ascii="Times New Roman" w:hAnsi="Times New Roman"/>
          <w:sz w:val="20"/>
        </w:rPr>
      </w:pPr>
      <w:r>
        <w:rPr>
          <w:rFonts w:ascii="Times New Roman" w:hAnsi="Times New Roman"/>
          <w:sz w:val="20"/>
        </w:rPr>
        <w:t xml:space="preserve">(g) No action shall have been taken and no statute, rule, regulation or order shall have been enacted, adopted or issued by any governmental agency or body which would, as of the Closing Date, prevent the issuance or sale of the Securities or materially and adversely affect, or would reasonably be expected to materially and adversely affect, the business or operations of the Company; and no injunction, restraining order or order of any other nature by any federal or state court of competent jurisdiction shall have been issued as of the Closing Date which would prevent the issuance or sale of the Securities or materially and adversely affect, or would reasonably be expected to materially and adversely affect, the business or operations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(h) The Company shall have prepared and filed, or shall promptly file after the Closing as required under the rules of the Commission, with the Commission a Form 8-K with respect to the Placement, including this Agreement as an exhibit thereto. </w:t>
      </w:r>
    </w:p>
    <w:p>
      <w:pPr>
        <w:pStyle w:val="TextBody"/>
        <w:bidi w:val="0"/>
        <w:spacing w:before="240" w:after="0"/>
        <w:jc w:val="left"/>
        <w:rPr>
          <w:rFonts w:ascii="Times New Roman" w:hAnsi="Times New Roman"/>
          <w:sz w:val="20"/>
        </w:rPr>
      </w:pPr>
      <w:r>
        <w:rPr>
          <w:rFonts w:ascii="Times New Roman" w:hAnsi="Times New Roman"/>
          <w:sz w:val="20"/>
        </w:rPr>
        <w:t xml:space="preserve">(i) The Company shall have entered into a Purchase Agreement with each of the Purchasers and such agreements shall be in full force and effect and shall contain representations, warranties and covenants of the Company as agreed between the Company and the Purchasers. </w:t>
      </w:r>
    </w:p>
    <w:p>
      <w:pPr>
        <w:pStyle w:val="TextBody"/>
        <w:bidi w:val="0"/>
        <w:spacing w:before="240" w:after="0"/>
        <w:jc w:val="left"/>
        <w:rPr>
          <w:rFonts w:ascii="Times New Roman" w:hAnsi="Times New Roman"/>
          <w:sz w:val="20"/>
        </w:rPr>
      </w:pPr>
      <w:r>
        <w:rPr>
          <w:rFonts w:ascii="Times New Roman" w:hAnsi="Times New Roman"/>
          <w:sz w:val="20"/>
        </w:rPr>
        <w:t xml:space="preserve">(j) FINRA shall have raised no objection to the fairness and reasonableness of the terms and arrangements of this Agreement. In addition, the Company shall, if requested by the Placement Agent, make or authorize Placement Agent’s counsel to make on the Company’s behalf, any filing with the FINRA Corporate Financing Department pursuant to FINRA Rule 5110 with respect to the Placement and pay all filing fees required in connection therewith. </w:t>
      </w:r>
    </w:p>
    <w:p>
      <w:pPr>
        <w:pStyle w:val="TextBody"/>
        <w:bidi w:val="0"/>
        <w:spacing w:before="240" w:after="0"/>
        <w:jc w:val="left"/>
        <w:rPr>
          <w:rFonts w:ascii="Times New Roman" w:hAnsi="Times New Roman"/>
          <w:sz w:val="20"/>
        </w:rPr>
      </w:pPr>
      <w:r>
        <w:rPr>
          <w:rFonts w:ascii="Times New Roman" w:hAnsi="Times New Roman"/>
          <w:sz w:val="20"/>
        </w:rPr>
        <w:t xml:space="preserve">If any of the conditions specified in this </w:t>
      </w:r>
      <w:r>
        <w:rPr>
          <w:rFonts w:ascii="Times New Roman" w:hAnsi="Times New Roman"/>
          <w:sz w:val="20"/>
          <w:u w:val="single"/>
        </w:rPr>
        <w:t>Section 8</w:t>
      </w:r>
      <w:r>
        <w:rPr>
          <w:rFonts w:ascii="Times New Roman" w:hAnsi="Times New Roman"/>
          <w:sz w:val="20"/>
        </w:rPr>
        <w:t xml:space="preserve"> shall not have been fulfilled when and as required by this Agreement, or if any of the certificates, opinions, written statements or letters furnished to the Placement Agent or to Placement Agent’s counsel pursuant to this </w:t>
      </w:r>
      <w:r>
        <w:rPr>
          <w:rFonts w:ascii="Times New Roman" w:hAnsi="Times New Roman"/>
          <w:sz w:val="20"/>
          <w:u w:val="single"/>
        </w:rPr>
        <w:t>Section 8</w:t>
      </w:r>
      <w:r>
        <w:rPr>
          <w:rFonts w:ascii="Times New Roman" w:hAnsi="Times New Roman"/>
          <w:sz w:val="20"/>
        </w:rPr>
        <w:t xml:space="preserve"> shall not be reasonably satisfactory in form and substance to the Placement Agent and to Placement Agent’s legal counsel, all obligations of the Placement Agent hereunder may be cancelled by the Placement Agent at, or at any time prior to, the consummation of the Closing. Notice of such cancellation shall be given to the Company in writing or orally. Any such oral notice shall be confirmed promptly thereafter in writing.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w:t>
      </w:r>
      <w:r>
        <w:rPr>
          <w:rFonts w:ascii="Times New Roman" w:hAnsi="Times New Roman"/>
          <w:sz w:val="20"/>
        </w:rPr>
        <w:t xml:space="preserve"> </w:t>
      </w:r>
      <w:r>
        <w:rPr>
          <w:rFonts w:ascii="Times New Roman" w:hAnsi="Times New Roman"/>
          <w:b/>
          <w:sz w:val="20"/>
        </w:rPr>
        <w:t>Governing Law.</w:t>
      </w:r>
      <w:r>
        <w:rPr>
          <w:rFonts w:ascii="Times New Roman" w:hAnsi="Times New Roman"/>
          <w:sz w:val="20"/>
        </w:rPr>
        <w:t xml:space="preserve">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Each party agrees that all legal actions or proceedings (each, an “Action or Proceeding”) concerning the interpretations, enforcement and defense of the transactions contemplated by this Agreement and any other Transaction Documents (whether brought against a party hereto or its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or Proceeding, any claim that it is not personally subject to the jurisdiction of any such court, that such Action or Proceeding is improper or is an inconvenient venue for such Action or Proceeding.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any party shall commence an Action or Proceeding to enforce any provisions of the Transaction Documents, then, in addition to the obligations of the Company under Section 6, the prevailing party in such Action or Proceeding shall be reimbursed by the non-prevailing party for its reasonable, actual and documented attorneys’ fees and other costs and expenses incurred with the investigation, preparation and prosecution of such Action or Proceeding.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w:t>
      </w:r>
      <w:r>
        <w:rPr>
          <w:rFonts w:ascii="Times New Roman" w:hAnsi="Times New Roman"/>
          <w:sz w:val="20"/>
        </w:rPr>
        <w:t xml:space="preserve"> </w:t>
      </w:r>
      <w:r>
        <w:rPr>
          <w:rFonts w:ascii="Times New Roman" w:hAnsi="Times New Roman"/>
          <w:b/>
          <w:sz w:val="20"/>
        </w:rPr>
        <w:t>Entire Agreement/Misc.</w:t>
      </w:r>
      <w:r>
        <w:rPr>
          <w:rFonts w:ascii="Times New Roman" w:hAnsi="Times New Roman"/>
          <w:sz w:val="20"/>
        </w:rPr>
        <w:t xml:space="preserve"> This Agreement embodies the entire agreement and understanding between the parties hereto, and supersedes all prior agreements and understandings, relating to the subject matter hereof, including the Engagement Agreement. If any provision of this Agreement is determined to be invalid or unenforceable in any respect, such determination will not affect such provision in any other respect or any other provision of this Agreement, which will remain in full force and effect. This Agreement may not be amended or otherwise modified or waived except by an instrument in writing signed by both Placement Agent and the Company. The representations, warranties, agreements and covenants contained herein shall survive the closing of the Placement and delivery of the Securities. This Agreement may be executed in two or more counterparts, all of which when taken together shall be considered one and the same agreement and shall become effective when counterparts have been signed by each party and delivered to the other party, it being understood that both parties need not sign the same counterpart. In the event that any signature is delivered by facsimile transmission or a .pdf format file, such signature shall create a valid and binding obligation of the party executing (or on whose behalf such signature is executed) with the same force and effect as if such facsimile or .pdf signature page were an original thereof.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11.</w:t>
      </w:r>
      <w:r>
        <w:rPr>
          <w:rFonts w:ascii="Times New Roman" w:hAnsi="Times New Roman"/>
          <w:sz w:val="20"/>
        </w:rPr>
        <w:t xml:space="preserve"> </w:t>
      </w:r>
      <w:r>
        <w:rPr>
          <w:rFonts w:ascii="Times New Roman" w:hAnsi="Times New Roman"/>
          <w:b/>
          <w:sz w:val="20"/>
        </w:rPr>
        <w:t>Notices</w:t>
      </w:r>
      <w:r>
        <w:rPr>
          <w:rFonts w:ascii="Times New Roman" w:hAnsi="Times New Roman"/>
          <w:sz w:val="20"/>
        </w:rPr>
        <w:t xml:space="preserve">. Any and all notices or other communications or deliveries required or permitted to be provided hereunder shall be in writing and shall be deemed given and effective on the earliest of (a) the date of transmission, if such notice or communication is delivered via facsimile at the facsimile number or email attachment at the email address specified on the signature pages attached hereto at or prior to 5:30 p.m. (New York City time) on a Trading Day, (b) the next Trading Day after time of transmission, if such notice or communication is delivered via facsimile at the facsimile number or email attachment at the email address on the signature pages attached hereto on a day that is not a Trading Day or later than 5:30 p.m. (New York City time) on any Trading Day, (c) the first (1st) Trading Day following the date of mailing, if sent by U.S. nationally recognized air courier service, or (d) upon actual receipt by the party to whom such notice is required to be given. The address for such notices and communications shall be as set forth on the signature pages hereto.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12.</w:t>
      </w:r>
      <w:r>
        <w:rPr>
          <w:rFonts w:ascii="Times New Roman" w:hAnsi="Times New Roman"/>
          <w:sz w:val="20"/>
        </w:rPr>
        <w:t xml:space="preserve"> </w:t>
      </w:r>
      <w:r>
        <w:rPr>
          <w:rFonts w:ascii="Times New Roman" w:hAnsi="Times New Roman"/>
          <w:b/>
          <w:sz w:val="20"/>
        </w:rPr>
        <w:t>Press Announcements</w:t>
      </w:r>
      <w:r>
        <w:rPr>
          <w:rFonts w:ascii="Times New Roman" w:hAnsi="Times New Roman"/>
          <w:sz w:val="20"/>
        </w:rPr>
        <w:t xml:space="preserve">. The Company agrees that the Placement Agent shall, from and after each Closing, have the right to reference the Placement and the Placement Agent’s role in connection therewith in the Placement Agent’s marketing materials and on its website and to place advertisements in financial and other newspapers and journals, in each case at its own expense. </w:t>
      </w:r>
    </w:p>
    <w:p>
      <w:pPr>
        <w:pStyle w:val="TextBody"/>
        <w:bidi w:val="0"/>
        <w:spacing w:before="240" w:after="0"/>
        <w:jc w:val="center"/>
        <w:rPr>
          <w:rFonts w:ascii="Times New Roman" w:hAnsi="Times New Roman"/>
          <w:i/>
          <w:sz w:val="20"/>
        </w:rPr>
      </w:pPr>
      <w:r>
        <w:rPr>
          <w:rFonts w:ascii="Times New Roman" w:hAnsi="Times New Roman"/>
          <w:i/>
          <w:sz w:val="20"/>
        </w:rPr>
        <w:t xml:space="preserve">[The remainder of this page has been intentionally left blank.]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Please confirm that the foregoing correctly sets forth our agreement by signing and returning to the Placement Agent the enclosed copy of this Agreement.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63"/>
        <w:gridCol w:w="60"/>
        <w:gridCol w:w="3359"/>
      </w:tblGrid>
      <w:tr>
        <w:trPr/>
        <w:tc>
          <w:tcPr>
            <w:tcW w:w="66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A.G.P./ALLIANCE GLOBAL PARTNERS</w:t>
            </w:r>
          </w:p>
        </w:tc>
      </w:tr>
      <w:tr>
        <w:trPr>
          <w:trHeight w:val="240" w:hRule="atLeast"/>
        </w:trPr>
        <w:tc>
          <w:tcPr>
            <w:tcW w:w="663" w:type="dxa"/>
            <w:tcBorders/>
            <w:vAlign w:val="center"/>
          </w:tcPr>
          <w:p>
            <w:pPr>
              <w:pStyle w:val="TableContents"/>
              <w:bidi w:val="0"/>
              <w:spacing w:before="0" w:after="283"/>
              <w:jc w:val="left"/>
              <w:rPr>
                <w:sz w:val="4"/>
                <w:szCs w:val="4"/>
              </w:rPr>
            </w:pPr>
            <w:r>
              <w:rPr>
                <w:sz w:val="4"/>
                <w:szCs w:val="4"/>
              </w:rPr>
            </w:r>
          </w:p>
        </w:tc>
        <w:tc>
          <w:tcPr>
            <w:tcW w:w="3419" w:type="dxa"/>
            <w:gridSpan w:val="2"/>
            <w:tcBorders/>
            <w:vAlign w:val="center"/>
          </w:tcPr>
          <w:p>
            <w:pPr>
              <w:pStyle w:val="TableContents"/>
              <w:bidi w:val="0"/>
              <w:spacing w:before="0" w:after="283"/>
              <w:jc w:val="left"/>
              <w:rPr>
                <w:sz w:val="4"/>
                <w:szCs w:val="4"/>
              </w:rPr>
            </w:pPr>
            <w:r>
              <w:rPr>
                <w:sz w:val="4"/>
                <w:szCs w:val="4"/>
              </w:rPr>
            </w:r>
          </w:p>
        </w:tc>
      </w:tr>
      <w:tr>
        <w:trPr/>
        <w:tc>
          <w:tcPr>
            <w:tcW w:w="66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Thomas Higgins</w:t>
            </w:r>
          </w:p>
        </w:tc>
      </w:tr>
      <w:tr>
        <w:trPr/>
        <w:tc>
          <w:tcPr>
            <w:tcW w:w="663"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9" w:type="dxa"/>
            <w:tcBorders/>
          </w:tcPr>
          <w:p>
            <w:pPr>
              <w:pStyle w:val="TableContents"/>
              <w:bidi w:val="0"/>
              <w:spacing w:before="0" w:after="283"/>
              <w:jc w:val="left"/>
              <w:rPr/>
            </w:pPr>
            <w:r>
              <w:rPr/>
              <w:t>Thomas Higgins</w:t>
            </w:r>
          </w:p>
        </w:tc>
      </w:tr>
      <w:tr>
        <w:trPr/>
        <w:tc>
          <w:tcPr>
            <w:tcW w:w="663"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9" w:type="dxa"/>
            <w:tcBorders/>
          </w:tcPr>
          <w:p>
            <w:pPr>
              <w:pStyle w:val="TableContents"/>
              <w:bidi w:val="0"/>
              <w:spacing w:before="0" w:after="283"/>
              <w:jc w:val="left"/>
              <w:rPr/>
            </w:pPr>
            <w:r>
              <w:rPr/>
              <w:t>Managing 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u w:val="single"/>
              </w:rPr>
              <w:t>Address for notice</w:t>
            </w:r>
            <w:r>
              <w:rPr/>
              <w:t>:</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590 Madison Avenue, 28th Floor</w:t>
            </w:r>
          </w:p>
          <w:p>
            <w:pPr>
              <w:pStyle w:val="TableContents"/>
              <w:bidi w:val="0"/>
              <w:spacing w:before="0" w:after="20"/>
              <w:jc w:val="left"/>
              <w:rPr>
                <w:rFonts w:ascii="Times New Roman" w:hAnsi="Times New Roman"/>
                <w:sz w:val="20"/>
              </w:rPr>
            </w:pPr>
            <w:r>
              <w:rPr>
                <w:rFonts w:ascii="Times New Roman" w:hAnsi="Times New Roman"/>
                <w:sz w:val="20"/>
              </w:rPr>
              <w:t>New York, New York 10022</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705"/>
        <w:gridCol w:w="61"/>
        <w:gridCol w:w="3316"/>
      </w:tblGrid>
      <w:tr>
        <w:trPr/>
        <w:tc>
          <w:tcPr>
            <w:tcW w:w="705"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Agreed and accepted to as of the date first written above: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 xml:space="preserve">VIVOSIM LABS, INC. </w:t>
            </w:r>
          </w:p>
        </w:tc>
      </w:tr>
      <w:tr>
        <w:trPr>
          <w:trHeight w:val="240" w:hRule="atLeast"/>
        </w:trPr>
        <w:tc>
          <w:tcPr>
            <w:tcW w:w="705" w:type="dxa"/>
            <w:tcBorders/>
            <w:vAlign w:val="center"/>
          </w:tcPr>
          <w:p>
            <w:pPr>
              <w:pStyle w:val="TableContents"/>
              <w:bidi w:val="0"/>
              <w:spacing w:before="0" w:after="283"/>
              <w:jc w:val="left"/>
              <w:rPr>
                <w:sz w:val="4"/>
                <w:szCs w:val="4"/>
              </w:rPr>
            </w:pPr>
            <w:r>
              <w:rPr>
                <w:sz w:val="4"/>
                <w:szCs w:val="4"/>
              </w:rPr>
            </w:r>
          </w:p>
        </w:tc>
        <w:tc>
          <w:tcPr>
            <w:tcW w:w="3377" w:type="dxa"/>
            <w:gridSpan w:val="2"/>
            <w:tcBorders/>
            <w:vAlign w:val="center"/>
          </w:tcPr>
          <w:p>
            <w:pPr>
              <w:pStyle w:val="TableContents"/>
              <w:bidi w:val="0"/>
              <w:spacing w:before="0" w:after="283"/>
              <w:jc w:val="left"/>
              <w:rPr>
                <w:sz w:val="4"/>
                <w:szCs w:val="4"/>
              </w:rPr>
            </w:pPr>
            <w:r>
              <w:rPr>
                <w:sz w:val="4"/>
                <w:szCs w:val="4"/>
              </w:rPr>
            </w:r>
          </w:p>
        </w:tc>
      </w:tr>
      <w:tr>
        <w:trPr/>
        <w:tc>
          <w:tcPr>
            <w:tcW w:w="705"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31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Keith Murphy</w:t>
            </w:r>
          </w:p>
        </w:tc>
      </w:tr>
      <w:tr>
        <w:trPr/>
        <w:tc>
          <w:tcPr>
            <w:tcW w:w="705" w:type="dxa"/>
            <w:tcBorders/>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316" w:type="dxa"/>
            <w:tcBorders/>
          </w:tcPr>
          <w:p>
            <w:pPr>
              <w:pStyle w:val="TableContents"/>
              <w:bidi w:val="0"/>
              <w:spacing w:before="0" w:after="283"/>
              <w:jc w:val="left"/>
              <w:rPr/>
            </w:pPr>
            <w:r>
              <w:rPr/>
              <w:t>Keith Murphy</w:t>
            </w:r>
          </w:p>
        </w:tc>
      </w:tr>
      <w:tr>
        <w:trPr/>
        <w:tc>
          <w:tcPr>
            <w:tcW w:w="705" w:type="dxa"/>
            <w:tcBorders/>
          </w:tcPr>
          <w:p>
            <w:pPr>
              <w:pStyle w:val="TableContents"/>
              <w:bidi w:val="0"/>
              <w:spacing w:before="0" w:after="283"/>
              <w:jc w:val="left"/>
              <w:rPr/>
            </w:pPr>
            <w:r>
              <w:rPr/>
              <w:t>Title:</w:t>
            </w:r>
          </w:p>
        </w:tc>
        <w:tc>
          <w:tcPr>
            <w:tcW w:w="61" w:type="dxa"/>
            <w:tcBorders/>
            <w:vAlign w:val="bottom"/>
          </w:tcPr>
          <w:p>
            <w:pPr>
              <w:pStyle w:val="TableContents"/>
              <w:bidi w:val="0"/>
              <w:spacing w:before="0" w:after="283"/>
              <w:jc w:val="left"/>
              <w:rPr/>
            </w:pPr>
            <w:r>
              <w:rPr/>
              <w:t> </w:t>
            </w:r>
          </w:p>
        </w:tc>
        <w:tc>
          <w:tcPr>
            <w:tcW w:w="3316" w:type="dxa"/>
            <w:tcBorders/>
          </w:tcPr>
          <w:p>
            <w:pPr>
              <w:pStyle w:val="TableContents"/>
              <w:bidi w:val="0"/>
              <w:spacing w:before="0" w:after="283"/>
              <w:jc w:val="left"/>
              <w:rPr/>
            </w:pPr>
            <w:r>
              <w:rPr/>
              <w:t>Executive Chairman</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u w:val="single"/>
              </w:rPr>
              <w:t>Address for notice</w:t>
            </w:r>
            <w:r>
              <w:rPr/>
              <w:t>:</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11555 Sorrento Valley Rd, Suite 100,</w:t>
            </w:r>
          </w:p>
          <w:p>
            <w:pPr>
              <w:pStyle w:val="TableContents"/>
              <w:bidi w:val="0"/>
              <w:spacing w:before="0" w:after="20"/>
              <w:jc w:val="left"/>
              <w:rPr>
                <w:rFonts w:ascii="Times New Roman" w:hAnsi="Times New Roman"/>
                <w:sz w:val="20"/>
              </w:rPr>
            </w:pPr>
            <w:r>
              <w:rPr>
                <w:rFonts w:ascii="Times New Roman" w:hAnsi="Times New Roman"/>
                <w:sz w:val="20"/>
              </w:rPr>
              <w:t>San Diego, CA 92121</w:t>
            </w:r>
          </w:p>
        </w:tc>
      </w:tr>
      <w:tr>
        <w:trPr/>
        <w:tc>
          <w:tcPr>
            <w:tcW w:w="4082" w:type="dxa"/>
            <w:gridSpan w:val="3"/>
            <w:tcBorders/>
          </w:tcPr>
          <w:p>
            <w:pPr>
              <w:pStyle w:val="TableContents"/>
              <w:bidi w:val="0"/>
              <w:spacing w:before="0" w:after="283"/>
              <w:jc w:val="left"/>
              <w:rPr/>
            </w:pPr>
            <w:r>
              <w:rPr/>
              <w:t>Email:</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VIVS July 2026 Placement Agency Agreement]</w:t>
      </w:r>
      <w:r>
        <w:rPr>
          <w:rFonts w:ascii="Times New Roman" w:hAnsi="Times New Roman"/>
          <w:sz w:val="20"/>
        </w:rPr>
        <w:t xml:space="preserve"> </w:t>
      </w:r>
    </w:p>
    <w:p>
      <w:pPr>
        <w:pStyle w:val="TextBody"/>
        <w:bidi w:val="0"/>
        <w:spacing w:before="0" w:after="0"/>
        <w:jc w:val="right"/>
        <w:rPr>
          <w:rFonts w:ascii="Times New Roman" w:hAnsi="Times New Roman"/>
          <w:b/>
          <w:sz w:val="20"/>
        </w:rPr>
      </w:pPr>
      <w:bookmarkStart w:id="12" w:name="d134319dex991.htm"/>
      <w:bookmarkStart w:id="13" w:name="ksd134319dex991"/>
      <w:bookmarkEnd w:id="12"/>
      <w:bookmarkEnd w:id="13"/>
      <w:r>
        <w:rPr>
          <w:rFonts w:ascii="Times New Roman" w:hAnsi="Times New Roman"/>
          <w:b/>
          <w:sz w:val="20"/>
        </w:rPr>
        <w:t xml:space="preserve">Exhibit 99.1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VivoSim Announces Pricing of $4.0 Million Private Placement Priced At-the-Market Under Nasdaq Rules with a Single Healthcare Focused Institutional Investor </w:t>
      </w:r>
    </w:p>
    <w:p>
      <w:pPr>
        <w:pStyle w:val="TextBody"/>
        <w:bidi w:val="0"/>
        <w:spacing w:before="240" w:after="0"/>
        <w:jc w:val="left"/>
        <w:rPr>
          <w:rFonts w:ascii="Times New Roman" w:hAnsi="Times New Roman"/>
          <w:sz w:val="20"/>
        </w:rPr>
      </w:pPr>
      <w:r>
        <w:rPr>
          <w:rFonts w:ascii="Times New Roman" w:hAnsi="Times New Roman"/>
          <w:sz w:val="20"/>
        </w:rPr>
        <w:t xml:space="preserve">SAN DIEGO, July 16, 2026 (GLOBE NEWSWIRE) — VivoSim Labs, Inc. (Nasdaq: VIVS) (the “Company” or “VivoSim”), a provider of next-generation New Approach Methodologies (NAM) 3d human cellular models for preclinical safety, today announced that it has entered into a securities purchase agreement with a single healthcare focused institutional investor for the purchase and sale of 4,705,883 shares of common stock (or common stock equivalents in lieu thereof) and warrants to purchase up to 4,705,883 shares of common stock at an effective combined price of $0.85 per share and accompanying common warrant for aggregate gross proceeds of approximately $4.0 million, before deducting placement agent fees and other offering expenses. The warrants will have an exercise price of $0.85 per share, will become exercisable immediately following receipt of shareholder approval and will expire five years from the initial exercise date. </w:t>
      </w:r>
    </w:p>
    <w:p>
      <w:pPr>
        <w:pStyle w:val="TextBody"/>
        <w:bidi w:val="0"/>
        <w:spacing w:before="240" w:after="0"/>
        <w:jc w:val="left"/>
        <w:rPr>
          <w:rFonts w:ascii="Times New Roman" w:hAnsi="Times New Roman"/>
          <w:sz w:val="20"/>
        </w:rPr>
      </w:pPr>
      <w:r>
        <w:rPr>
          <w:rFonts w:ascii="Times New Roman" w:hAnsi="Times New Roman"/>
          <w:sz w:val="20"/>
        </w:rPr>
        <w:t xml:space="preserve">The Company also has agreed that certain existing May 2024 warrants to purchase up to 520,833 shares of common stock at an exercise price of $9.60 per share will be amended such that the warrants will have a reduced exercise price of $0.85 per share. The warrant amendment is subject to stockholder approval, and the warrants shall expire five years from the date stockholder approval is obtained. </w:t>
      </w:r>
    </w:p>
    <w:p>
      <w:pPr>
        <w:pStyle w:val="TextBody"/>
        <w:bidi w:val="0"/>
        <w:spacing w:before="240" w:after="0"/>
        <w:jc w:val="left"/>
        <w:rPr>
          <w:rFonts w:ascii="Times New Roman" w:hAnsi="Times New Roman"/>
          <w:sz w:val="20"/>
        </w:rPr>
      </w:pPr>
      <w:r>
        <w:rPr>
          <w:rFonts w:ascii="Times New Roman" w:hAnsi="Times New Roman"/>
          <w:sz w:val="20"/>
        </w:rPr>
        <w:t xml:space="preserve">The closing of the offering is expected to occur on or about July 17, 2026, subject to the satisfaction of customary closing conditions. The Company expects to use the net proceeds from the offering for working capital and general corporate purposes. </w:t>
      </w:r>
    </w:p>
    <w:p>
      <w:pPr>
        <w:pStyle w:val="TextBody"/>
        <w:bidi w:val="0"/>
        <w:spacing w:before="240" w:after="0"/>
        <w:jc w:val="left"/>
        <w:rPr>
          <w:rFonts w:ascii="Times New Roman" w:hAnsi="Times New Roman"/>
          <w:sz w:val="20"/>
        </w:rPr>
      </w:pPr>
      <w:r>
        <w:rPr>
          <w:rFonts w:ascii="Times New Roman" w:hAnsi="Times New Roman"/>
          <w:sz w:val="20"/>
        </w:rPr>
        <w:t xml:space="preserve">A.G.P./Alliance Global Partners is acting as the sole placement agent in connection with the offering. </w:t>
      </w:r>
    </w:p>
    <w:p>
      <w:pPr>
        <w:pStyle w:val="TextBody"/>
        <w:bidi w:val="0"/>
        <w:spacing w:before="240" w:after="0"/>
        <w:jc w:val="left"/>
        <w:rPr>
          <w:rFonts w:ascii="Times New Roman" w:hAnsi="Times New Roman"/>
          <w:sz w:val="20"/>
        </w:rPr>
      </w:pPr>
      <w:r>
        <w:rPr>
          <w:rFonts w:ascii="Times New Roman" w:hAnsi="Times New Roman"/>
          <w:sz w:val="20"/>
        </w:rPr>
        <w:t xml:space="preserve">The offer and sale of the foregoing securities is being made in reliance on an exemption from the registration requirement under Section 4(a)(2) of the Securities Act of 1933, as amended (the “Securities Act”), and/or Regulation D promulgated thereunder, and applicable state securities laws, and the securities have not been and will not initially be registered under the Securities Act, or applicable state securities laws. Accordingly, the securities may not be offered or sold in the United States except pursuant to an effective registration statement or an applicable exemption from the registration requirements of the Securities Act and such applicable state securities laws. Pursuant to the terms of the securities purchase agreement entered into with the investor, the Company has agreed to file a registration statement with the U.S. Securities and Exchange Commission (the “SEC”) covering the resale of the shares of common stock and shares of common stock underlying common warrants sold in the offering. </w:t>
      </w:r>
    </w:p>
    <w:p>
      <w:pPr>
        <w:pStyle w:val="TextBody"/>
        <w:bidi w:val="0"/>
        <w:spacing w:before="240" w:after="0"/>
        <w:jc w:val="left"/>
        <w:rPr>
          <w:rFonts w:ascii="Times New Roman" w:hAnsi="Times New Roman"/>
          <w:sz w:val="20"/>
        </w:rPr>
      </w:pPr>
      <w:r>
        <w:rPr>
          <w:rFonts w:ascii="Times New Roman" w:hAnsi="Times New Roman"/>
          <w:sz w:val="20"/>
        </w:rPr>
        <w:t xml:space="preserve">This press release shall not constitute an offer to sell or a solicitation of an offer to buy these securities, nor shall there be any sale of these securities in any state or other jurisdiction in which such offer, solicitation or sale would be unlawful prior to the registration or qualification under the securities laws of any such state or other jurisdiction. </w:t>
      </w:r>
    </w:p>
    <w:p>
      <w:pPr>
        <w:pStyle w:val="TextBody"/>
        <w:bidi w:val="0"/>
        <w:spacing w:before="360" w:after="0"/>
        <w:jc w:val="left"/>
        <w:rPr>
          <w:rFonts w:ascii="Times New Roman" w:hAnsi="Times New Roman"/>
          <w:b/>
          <w:sz w:val="20"/>
        </w:rPr>
      </w:pPr>
      <w:r>
        <w:rPr>
          <w:rFonts w:ascii="Times New Roman" w:hAnsi="Times New Roman"/>
          <w:b/>
          <w:sz w:val="20"/>
        </w:rPr>
        <w:t xml:space="preserve">About VivoSim Labs </w:t>
      </w:r>
    </w:p>
    <w:p>
      <w:pPr>
        <w:pStyle w:val="TextBody"/>
        <w:bidi w:val="0"/>
        <w:spacing w:before="120" w:after="0"/>
        <w:jc w:val="left"/>
        <w:rPr>
          <w:rFonts w:ascii="Times New Roman" w:hAnsi="Times New Roman"/>
          <w:sz w:val="20"/>
        </w:rPr>
      </w:pPr>
      <w:r>
        <w:rPr>
          <w:rFonts w:ascii="Times New Roman" w:hAnsi="Times New Roman"/>
          <w:sz w:val="20"/>
        </w:rPr>
        <w:t xml:space="preserve">VivoSim Labs, Inc. (“VivoSim” and the “Company”), is a pharmaceutical and biotechnology services company that is focused on providing testing of drugs and drug candidates in three-dimensional (“3D”) human tissue models of liver and intestine. The Company offers partners liver and intestinal toxicology insights using its new approach methodologies (“NAM”) models. The Company anticipates accelerated adoption of human tissue models following the U.S. Food and Drug Administration (“FDA”) Roadmap to refine animal testing requirements in favor of these non-animal NAM methods. VivoSim Labs operates from San Diego, CA. Visit www.vivosim.ai.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Any statements contained in this press release that do not describe historical facts constitute forward-looking statements as that term is defined in the Private Securities Litigation Reform Act of 1995. Any forward-looking statements contained herein are based on current expectations but are subject to a number of risks and uncertainties. Forward-looking statements include statements regarding NAMkind, including target turnaround time and its potential to help users de-risk their pipelines, avoid costly downstream failures, reduce rework, prioritize the right assets, move faster, save millions and reduce risk; VivoSim’s commercial presence across Asia-Pacific; the evaluation and acceptance of scientifically robust NAM-based evidence; the Company’s ability to capture growing demand in the in vitro toxicology testing market; demand for human-relevant toxicology; the market opportunity and market size of gastrointestinal in vitro models and toxicology services; and the Company’s scaling capacity to support expanding global demand and development needs. Such forward-looking statements are not guarantees of performance and actual actions or events could differ materially from those contained in such statements. These risks and uncertainties and other factors are identified and described in more detail in the Company’s filings with the SEC, including its Annual Report on Form 10-K filed with the SEC on July 14, 2026. You should not place undue reliance on these forward-looking statements, which speak only as of the date that they were made. These cautionary statements should be considered with any written or oral forward-looking statements that the Company may issue in the future. Except as required by applicable law, including the securities laws of the United States, the Company does not intend to update any of the forward-looking statements to conform these statements to reflect actual results, later events, or circumstances or to reflect the occurrence of unanticipated events. </w:t>
      </w:r>
    </w:p>
    <w:p>
      <w:pPr>
        <w:pStyle w:val="TextBody"/>
        <w:bidi w:val="0"/>
        <w:spacing w:before="240" w:after="0"/>
        <w:jc w:val="left"/>
        <w:rPr>
          <w:rFonts w:ascii="Times New Roman" w:hAnsi="Times New Roman"/>
          <w:b/>
          <w:sz w:val="20"/>
        </w:rPr>
      </w:pPr>
      <w:r>
        <w:rPr>
          <w:rFonts w:ascii="Times New Roman" w:hAnsi="Times New Roman"/>
          <w:b/>
          <w:sz w:val="20"/>
        </w:rPr>
        <w:t xml:space="preserve">Contact(s): </w:t>
      </w:r>
    </w:p>
    <w:p>
      <w:pPr>
        <w:pStyle w:val="TextBody"/>
        <w:bidi w:val="0"/>
        <w:spacing w:before="240" w:after="0"/>
        <w:jc w:val="left"/>
        <w:rPr>
          <w:rFonts w:ascii="Times New Roman" w:hAnsi="Times New Roman"/>
          <w:sz w:val="20"/>
        </w:rPr>
      </w:pPr>
      <w:r>
        <w:rPr>
          <w:rFonts w:ascii="Times New Roman" w:hAnsi="Times New Roman"/>
          <w:sz w:val="20"/>
        </w:rPr>
        <w:t xml:space="preserve">Investor Relations </w:t>
      </w:r>
    </w:p>
    <w:p>
      <w:pPr>
        <w:pStyle w:val="TextBody"/>
        <w:bidi w:val="0"/>
        <w:spacing w:before="240" w:after="0"/>
        <w:jc w:val="left"/>
        <w:rPr>
          <w:rFonts w:ascii="Times New Roman" w:hAnsi="Times New Roman"/>
          <w:sz w:val="20"/>
        </w:rPr>
      </w:pPr>
      <w:r>
        <w:rPr>
          <w:rFonts w:ascii="Times New Roman" w:hAnsi="Times New Roman"/>
          <w:sz w:val="20"/>
        </w:rPr>
        <w:t xml:space="preserve">info@vivosim.ai </w:t>
      </w:r>
    </w:p>
    <w:p>
      <w:pPr>
        <w:pStyle w:val="TextBody"/>
        <w:bidi w:val="0"/>
        <w:spacing w:before="240" w:after="0"/>
        <w:jc w:val="left"/>
        <w:rPr>
          <w:rFonts w:ascii="Times New Roman" w:hAnsi="Times New Roman"/>
          <w:sz w:val="20"/>
        </w:rPr>
      </w:pPr>
      <w:r>
        <w:rPr>
          <w:rFonts w:ascii="Times New Roman" w:hAnsi="Times New Roman"/>
          <w:sz w:val="20"/>
        </w:rPr>
        <w:t xml:space="preserve">VivoSim Labs, Inc.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78</Pages>
  <Words>46794</Words>
  <Characters>245651</Characters>
  <CharactersWithSpaces>292454</CharactersWithSpaces>
  <Paragraphs>892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